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8F" w:rsidRPr="005F744A" w:rsidRDefault="0057338F" w:rsidP="0057338F">
      <w:pPr>
        <w:rPr>
          <w:rFonts w:ascii="Arial" w:hAnsi="Arial" w:cs="Arial"/>
          <w:b/>
          <w:bCs/>
          <w:sz w:val="24"/>
          <w:szCs w:val="24"/>
          <w:lang w:val="en-US"/>
        </w:rPr>
      </w:pPr>
    </w:p>
    <w:p w:rsidR="0057338F" w:rsidRPr="005F744A" w:rsidRDefault="0057338F" w:rsidP="0057338F">
      <w:pPr>
        <w:pStyle w:val="qowt-stl-ttulo1"/>
        <w:shd w:val="clear" w:color="auto" w:fill="FFFFFF"/>
        <w:spacing w:before="0" w:beforeAutospacing="0" w:after="0" w:afterAutospacing="0"/>
        <w:ind w:right="205"/>
        <w:jc w:val="center"/>
        <w:rPr>
          <w:rFonts w:ascii="Arial" w:hAnsi="Arial" w:cs="Arial"/>
          <w:b/>
          <w:bCs/>
          <w:color w:val="000000" w:themeColor="text1"/>
        </w:rPr>
      </w:pPr>
    </w:p>
    <w:p w:rsidR="0057338F" w:rsidRPr="005F744A" w:rsidRDefault="0057338F" w:rsidP="0057338F">
      <w:pPr>
        <w:pStyle w:val="qowt-stl-ttulo1"/>
        <w:shd w:val="clear" w:color="auto" w:fill="FFFFFF"/>
        <w:spacing w:before="0" w:beforeAutospacing="0" w:after="0" w:afterAutospacing="0"/>
        <w:ind w:right="205"/>
        <w:jc w:val="center"/>
        <w:rPr>
          <w:rFonts w:ascii="Arial" w:hAnsi="Arial" w:cs="Arial"/>
          <w:b/>
          <w:bCs/>
          <w:color w:val="000000" w:themeColor="text1"/>
        </w:rPr>
      </w:pPr>
    </w:p>
    <w:p w:rsidR="0057338F" w:rsidRPr="005F744A" w:rsidRDefault="0057338F" w:rsidP="0057338F">
      <w:pPr>
        <w:pStyle w:val="qowt-stl-ttulo1"/>
        <w:shd w:val="clear" w:color="auto" w:fill="FFFFFF"/>
        <w:spacing w:before="0" w:beforeAutospacing="0" w:after="0" w:afterAutospacing="0"/>
        <w:ind w:right="205"/>
        <w:jc w:val="center"/>
        <w:rPr>
          <w:rFonts w:ascii="Arial" w:hAnsi="Arial" w:cs="Arial"/>
          <w:b/>
          <w:bCs/>
          <w:color w:val="000000" w:themeColor="text1"/>
        </w:rPr>
      </w:pPr>
    </w:p>
    <w:p w:rsidR="0057338F" w:rsidRPr="005F744A" w:rsidRDefault="0057338F" w:rsidP="0057338F">
      <w:pPr>
        <w:pStyle w:val="qowt-stl-ttulo1"/>
        <w:shd w:val="clear" w:color="auto" w:fill="FFFFFF"/>
        <w:spacing w:before="0" w:beforeAutospacing="0" w:after="0" w:afterAutospacing="0"/>
        <w:ind w:right="205"/>
        <w:jc w:val="center"/>
        <w:rPr>
          <w:rFonts w:ascii="Arial" w:hAnsi="Arial" w:cs="Arial"/>
          <w:color w:val="000000" w:themeColor="text1"/>
        </w:rPr>
      </w:pPr>
      <w:r w:rsidRPr="005F744A">
        <w:rPr>
          <w:rFonts w:ascii="Arial" w:hAnsi="Arial" w:cs="Arial"/>
          <w:b/>
          <w:bCs/>
          <w:color w:val="000000" w:themeColor="text1"/>
        </w:rPr>
        <w:t xml:space="preserve">AVISO DE PUBLICACIÓN DEL PROYECTO </w:t>
      </w:r>
      <w:r w:rsidRPr="005F744A">
        <w:rPr>
          <w:rFonts w:ascii="Arial" w:eastAsiaTheme="minorHAnsi" w:hAnsi="Arial" w:cs="Arial"/>
          <w:b/>
          <w:snapToGrid w:val="0"/>
          <w:color w:val="000000"/>
          <w:lang w:eastAsia="en-US"/>
        </w:rPr>
        <w:t xml:space="preserve">NORMATIVO QUE REGULA LA EMISIÓN </w:t>
      </w:r>
      <w:r w:rsidR="00D9372B">
        <w:rPr>
          <w:rFonts w:ascii="Arial" w:eastAsiaTheme="minorHAnsi" w:hAnsi="Arial" w:cs="Arial"/>
          <w:b/>
          <w:snapToGrid w:val="0"/>
          <w:color w:val="000000"/>
          <w:lang w:eastAsia="en-US"/>
        </w:rPr>
        <w:t>DEL SERVICIO DE BASE GRÁFICA REGISTRAL EN ARCHIVO DIGITAL</w:t>
      </w:r>
    </w:p>
    <w:p w:rsidR="0057338F" w:rsidRPr="005F744A" w:rsidRDefault="0057338F" w:rsidP="0057338F">
      <w:pPr>
        <w:pStyle w:val="qowt-stl-textoindependiente"/>
        <w:shd w:val="clear" w:color="auto" w:fill="FFFFFF"/>
        <w:spacing w:before="0" w:beforeAutospacing="0" w:after="0" w:afterAutospacing="0"/>
        <w:rPr>
          <w:rFonts w:ascii="Arial" w:hAnsi="Arial" w:cs="Arial"/>
          <w:color w:val="000000" w:themeColor="text1"/>
        </w:rPr>
      </w:pPr>
    </w:p>
    <w:p w:rsidR="0057338F" w:rsidRPr="005F744A" w:rsidRDefault="0057338F" w:rsidP="00F94140">
      <w:pPr>
        <w:pStyle w:val="qowt-stl-ttulo2"/>
        <w:shd w:val="clear" w:color="auto" w:fill="FFFFFF"/>
        <w:spacing w:before="0" w:beforeAutospacing="0" w:after="0" w:afterAutospacing="0"/>
        <w:ind w:left="102" w:right="115"/>
        <w:jc w:val="both"/>
        <w:rPr>
          <w:rFonts w:ascii="Arial" w:hAnsi="Arial" w:cs="Arial"/>
          <w:color w:val="000000" w:themeColor="text1"/>
        </w:rPr>
      </w:pPr>
      <w:r w:rsidRPr="005F744A">
        <w:rPr>
          <w:rFonts w:ascii="Arial" w:hAnsi="Arial" w:cs="Arial"/>
          <w:color w:val="000000" w:themeColor="text1"/>
        </w:rPr>
        <w:t xml:space="preserve">La Superintendencia Nacional de los Registros Públicos - SUNARP hace de conocimiento a los órganos que intervienen en el procedimiento de </w:t>
      </w:r>
      <w:r w:rsidR="00F94140" w:rsidRPr="005F744A">
        <w:rPr>
          <w:rFonts w:ascii="Arial" w:hAnsi="Arial" w:cs="Arial"/>
          <w:color w:val="000000" w:themeColor="text1"/>
        </w:rPr>
        <w:t xml:space="preserve">expedición del servicio de </w:t>
      </w:r>
      <w:r w:rsidR="00D9372B">
        <w:rPr>
          <w:rFonts w:ascii="Arial" w:hAnsi="Arial" w:cs="Arial"/>
          <w:color w:val="000000" w:themeColor="text1"/>
        </w:rPr>
        <w:t>Base Gráfica Registral en archivo digital</w:t>
      </w:r>
      <w:r w:rsidRPr="005F744A">
        <w:rPr>
          <w:rFonts w:ascii="Arial" w:hAnsi="Arial" w:cs="Arial"/>
          <w:color w:val="000000" w:themeColor="text1"/>
        </w:rPr>
        <w:t>, especialistas en materia registral</w:t>
      </w:r>
      <w:r w:rsidR="00C24C83" w:rsidRPr="005F744A">
        <w:rPr>
          <w:rFonts w:ascii="Arial" w:hAnsi="Arial" w:cs="Arial"/>
          <w:color w:val="000000" w:themeColor="text1"/>
        </w:rPr>
        <w:t xml:space="preserve"> y catastral</w:t>
      </w:r>
      <w:r w:rsidRPr="005F744A">
        <w:rPr>
          <w:rFonts w:ascii="Arial" w:hAnsi="Arial" w:cs="Arial"/>
          <w:color w:val="000000" w:themeColor="text1"/>
        </w:rPr>
        <w:t xml:space="preserve">, usuarios del Registro y público en general, el </w:t>
      </w:r>
      <w:r w:rsidR="00F94140" w:rsidRPr="005F744A">
        <w:rPr>
          <w:rFonts w:ascii="Arial" w:hAnsi="Arial" w:cs="Arial"/>
          <w:color w:val="000000" w:themeColor="text1"/>
        </w:rPr>
        <w:t>Proyecto de Directiva que regula el servicio de Base Grafica Registral en archivo digital aprobado por Decreto Supremo N° 004-2013-JUS</w:t>
      </w:r>
      <w:r w:rsidRPr="005F744A">
        <w:rPr>
          <w:rFonts w:ascii="Arial" w:hAnsi="Arial" w:cs="Arial"/>
          <w:color w:val="000000" w:themeColor="text1"/>
        </w:rPr>
        <w:t>, con la finalidad de recibir sus comentarios, sugerencias u observaciones, los cuales estamos seguros contribuirán a mejorar el texto final de dicho proyecto.</w:t>
      </w:r>
      <w:r w:rsidRPr="005F744A">
        <w:rPr>
          <w:rFonts w:ascii="Arial" w:hAnsi="Arial" w:cs="Arial"/>
          <w:color w:val="000000" w:themeColor="text1"/>
        </w:rPr>
        <w:br/>
      </w:r>
    </w:p>
    <w:p w:rsidR="0057338F" w:rsidRPr="005F744A" w:rsidRDefault="0057338F" w:rsidP="0057338F">
      <w:pPr>
        <w:pStyle w:val="NormalWeb"/>
        <w:shd w:val="clear" w:color="auto" w:fill="FFFFFF"/>
        <w:spacing w:before="0" w:beforeAutospacing="0" w:after="0" w:afterAutospacing="0"/>
        <w:ind w:left="102" w:right="116"/>
        <w:jc w:val="both"/>
        <w:rPr>
          <w:rFonts w:ascii="Arial" w:hAnsi="Arial" w:cs="Arial"/>
          <w:color w:val="000000" w:themeColor="text1"/>
        </w:rPr>
      </w:pPr>
      <w:r w:rsidRPr="005F744A">
        <w:rPr>
          <w:rStyle w:val="qowt-font3-calibri"/>
          <w:rFonts w:ascii="Arial" w:hAnsi="Arial" w:cs="Arial"/>
          <w:color w:val="000000" w:themeColor="text1"/>
        </w:rPr>
        <w:t xml:space="preserve">Agradeceremos se sirvan hacernos llegar sus aportes a los siguientes correos electrónicos: </w:t>
      </w:r>
      <w:r w:rsidRPr="005F744A">
        <w:rPr>
          <w:rStyle w:val="qowt-font3-calibri"/>
          <w:rFonts w:ascii="Arial" w:hAnsi="Arial" w:cs="Arial"/>
          <w:b/>
          <w:bCs/>
          <w:color w:val="000000" w:themeColor="text1"/>
          <w:u w:val="single"/>
        </w:rPr>
        <w:t>hespinoza@sunarp.gob.pe</w:t>
      </w:r>
      <w:r w:rsidR="00F94140" w:rsidRPr="005F744A">
        <w:rPr>
          <w:rStyle w:val="qowt-font3-calibri"/>
          <w:rFonts w:ascii="Arial" w:hAnsi="Arial" w:cs="Arial"/>
          <w:b/>
          <w:bCs/>
          <w:color w:val="000000" w:themeColor="text1"/>
        </w:rPr>
        <w:t xml:space="preserve"> </w:t>
      </w:r>
      <w:r w:rsidRPr="005F744A">
        <w:rPr>
          <w:rStyle w:val="qowt-font3-calibri"/>
          <w:rFonts w:ascii="Arial" w:hAnsi="Arial" w:cs="Arial"/>
          <w:bCs/>
          <w:color w:val="000000" w:themeColor="text1"/>
        </w:rPr>
        <w:t xml:space="preserve">y </w:t>
      </w:r>
      <w:r w:rsidRPr="005F744A">
        <w:rPr>
          <w:rStyle w:val="qowt-font3-calibri"/>
          <w:rFonts w:ascii="Arial" w:hAnsi="Arial" w:cs="Arial"/>
          <w:b/>
          <w:bCs/>
          <w:color w:val="000000" w:themeColor="text1"/>
          <w:u w:val="single"/>
        </w:rPr>
        <w:t>ahabich@sunarp.gob.pe</w:t>
      </w:r>
      <w:r w:rsidRPr="005F744A">
        <w:rPr>
          <w:rStyle w:val="qowt-font3-calibri"/>
          <w:rFonts w:ascii="Arial" w:hAnsi="Arial" w:cs="Arial"/>
          <w:color w:val="000000" w:themeColor="text1"/>
        </w:rPr>
        <w:t xml:space="preserve"> hasta el </w:t>
      </w:r>
      <w:r w:rsidR="00F94140" w:rsidRPr="005F744A">
        <w:rPr>
          <w:rStyle w:val="qowt-font3-calibri"/>
          <w:rFonts w:ascii="Arial" w:hAnsi="Arial" w:cs="Arial"/>
          <w:color w:val="000000" w:themeColor="text1"/>
        </w:rPr>
        <w:t>lunes 02</w:t>
      </w:r>
      <w:r w:rsidRPr="005F744A">
        <w:rPr>
          <w:rStyle w:val="qowt-font3-calibri"/>
          <w:rFonts w:ascii="Arial" w:hAnsi="Arial" w:cs="Arial"/>
          <w:color w:val="000000" w:themeColor="text1"/>
        </w:rPr>
        <w:t xml:space="preserve"> de </w:t>
      </w:r>
      <w:r w:rsidR="00F94140" w:rsidRPr="005F744A">
        <w:rPr>
          <w:rStyle w:val="qowt-font3-calibri"/>
          <w:rFonts w:ascii="Arial" w:hAnsi="Arial" w:cs="Arial"/>
          <w:color w:val="000000" w:themeColor="text1"/>
        </w:rPr>
        <w:t>julio</w:t>
      </w:r>
      <w:r w:rsidRPr="005F744A">
        <w:rPr>
          <w:rStyle w:val="qowt-font3-calibri"/>
          <w:rFonts w:ascii="Arial" w:hAnsi="Arial" w:cs="Arial"/>
          <w:color w:val="000000" w:themeColor="text1"/>
        </w:rPr>
        <w:t xml:space="preserve"> del presente.</w:t>
      </w:r>
    </w:p>
    <w:p w:rsidR="0057338F" w:rsidRPr="005F744A" w:rsidRDefault="0057338F" w:rsidP="0057338F">
      <w:pPr>
        <w:pStyle w:val="qowt-stl-textoindependiente"/>
        <w:shd w:val="clear" w:color="auto" w:fill="FFFFFF"/>
        <w:spacing w:before="0" w:beforeAutospacing="0" w:after="0" w:afterAutospacing="0"/>
        <w:rPr>
          <w:rFonts w:ascii="Arial" w:hAnsi="Arial" w:cs="Arial"/>
          <w:color w:val="000000" w:themeColor="text1"/>
        </w:rPr>
      </w:pPr>
    </w:p>
    <w:p w:rsidR="0057338F" w:rsidRPr="005F744A" w:rsidRDefault="0057338F" w:rsidP="0057338F">
      <w:pPr>
        <w:pStyle w:val="qowt-stl-ttulo2"/>
        <w:shd w:val="clear" w:color="auto" w:fill="FFFFFF"/>
        <w:spacing w:before="0" w:beforeAutospacing="0" w:after="0" w:afterAutospacing="0"/>
        <w:ind w:left="102"/>
        <w:jc w:val="both"/>
        <w:rPr>
          <w:rFonts w:ascii="Arial" w:hAnsi="Arial" w:cs="Arial"/>
          <w:color w:val="000000" w:themeColor="text1"/>
        </w:rPr>
      </w:pPr>
      <w:r w:rsidRPr="005F744A">
        <w:rPr>
          <w:rFonts w:ascii="Arial" w:hAnsi="Arial" w:cs="Arial"/>
          <w:color w:val="000000" w:themeColor="text1"/>
        </w:rPr>
        <w:t xml:space="preserve">Santiago de Surco, </w:t>
      </w:r>
      <w:r w:rsidR="00F94140" w:rsidRPr="005F744A">
        <w:rPr>
          <w:rFonts w:ascii="Arial" w:hAnsi="Arial" w:cs="Arial"/>
          <w:color w:val="000000" w:themeColor="text1"/>
        </w:rPr>
        <w:t>junio del 2018</w:t>
      </w:r>
      <w:r w:rsidR="00D9372B">
        <w:rPr>
          <w:rFonts w:ascii="Arial" w:hAnsi="Arial" w:cs="Arial"/>
          <w:color w:val="000000" w:themeColor="text1"/>
        </w:rPr>
        <w:t>.</w:t>
      </w: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val="es-PE"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shd w:val="clear" w:color="auto" w:fill="FFFFFF"/>
        <w:spacing w:before="100" w:beforeAutospacing="1" w:after="100" w:afterAutospacing="1"/>
        <w:ind w:left="708" w:hanging="708"/>
        <w:jc w:val="both"/>
        <w:outlineLvl w:val="0"/>
        <w:rPr>
          <w:rFonts w:ascii="Arial" w:hAnsi="Arial" w:cs="Arial"/>
          <w:b/>
          <w:bCs/>
          <w:color w:val="000000"/>
          <w:kern w:val="36"/>
          <w:sz w:val="24"/>
          <w:szCs w:val="24"/>
          <w:lang w:eastAsia="es-PE"/>
        </w:rPr>
      </w:pPr>
    </w:p>
    <w:p w:rsidR="0057338F" w:rsidRPr="005F744A" w:rsidRDefault="0057338F" w:rsidP="0057338F">
      <w:pPr>
        <w:rPr>
          <w:rFonts w:ascii="Arial" w:hAnsi="Arial" w:cs="Arial"/>
          <w:b/>
          <w:bCs/>
          <w:color w:val="000000"/>
          <w:kern w:val="36"/>
          <w:sz w:val="24"/>
          <w:szCs w:val="24"/>
          <w:lang w:eastAsia="es-PE"/>
        </w:rPr>
      </w:pPr>
    </w:p>
    <w:p w:rsidR="0057338F" w:rsidRPr="005F744A" w:rsidRDefault="0057338F" w:rsidP="0057338F">
      <w:pPr>
        <w:rPr>
          <w:rFonts w:ascii="Arial" w:hAnsi="Arial" w:cs="Arial"/>
          <w:b/>
          <w:bCs/>
          <w:sz w:val="24"/>
          <w:szCs w:val="24"/>
        </w:rPr>
      </w:pPr>
    </w:p>
    <w:p w:rsidR="0057338F" w:rsidRPr="005F744A" w:rsidRDefault="0057338F" w:rsidP="0057338F">
      <w:pPr>
        <w:rPr>
          <w:rFonts w:ascii="Arial" w:hAnsi="Arial" w:cs="Arial"/>
          <w:b/>
          <w:bCs/>
          <w:sz w:val="24"/>
          <w:szCs w:val="24"/>
          <w:lang w:val="es-PE"/>
        </w:rPr>
      </w:pPr>
    </w:p>
    <w:p w:rsidR="005F744A" w:rsidRDefault="005F744A" w:rsidP="005F744A">
      <w:pPr>
        <w:jc w:val="center"/>
        <w:rPr>
          <w:rFonts w:ascii="Arial" w:hAnsi="Arial" w:cs="Arial"/>
          <w:b/>
          <w:color w:val="000000" w:themeColor="text1"/>
          <w:sz w:val="24"/>
          <w:szCs w:val="24"/>
        </w:rPr>
      </w:pPr>
    </w:p>
    <w:p w:rsidR="00D9372B" w:rsidRDefault="00D9372B" w:rsidP="005F744A">
      <w:pPr>
        <w:jc w:val="center"/>
        <w:rPr>
          <w:rFonts w:ascii="Arial" w:hAnsi="Arial" w:cs="Arial"/>
          <w:b/>
          <w:color w:val="000000" w:themeColor="text1"/>
          <w:sz w:val="24"/>
          <w:szCs w:val="24"/>
        </w:rPr>
      </w:pPr>
    </w:p>
    <w:p w:rsidR="00D9372B" w:rsidRDefault="00D9372B" w:rsidP="005F744A">
      <w:pPr>
        <w:jc w:val="center"/>
        <w:rPr>
          <w:rFonts w:ascii="Arial" w:hAnsi="Arial" w:cs="Arial"/>
          <w:b/>
          <w:color w:val="000000" w:themeColor="text1"/>
          <w:sz w:val="24"/>
          <w:szCs w:val="24"/>
        </w:rPr>
      </w:pPr>
    </w:p>
    <w:p w:rsidR="00D9372B" w:rsidRDefault="00D9372B" w:rsidP="005F744A">
      <w:pPr>
        <w:jc w:val="center"/>
        <w:rPr>
          <w:rFonts w:ascii="Arial" w:hAnsi="Arial" w:cs="Arial"/>
          <w:b/>
          <w:color w:val="000000" w:themeColor="text1"/>
          <w:sz w:val="24"/>
          <w:szCs w:val="24"/>
        </w:rPr>
      </w:pPr>
    </w:p>
    <w:p w:rsidR="00D9372B" w:rsidRDefault="00D9372B" w:rsidP="005F744A">
      <w:pPr>
        <w:jc w:val="center"/>
        <w:rPr>
          <w:rFonts w:ascii="Arial" w:hAnsi="Arial" w:cs="Arial"/>
          <w:b/>
          <w:color w:val="000000" w:themeColor="text1"/>
          <w:sz w:val="24"/>
          <w:szCs w:val="24"/>
        </w:rPr>
      </w:pPr>
    </w:p>
    <w:p w:rsidR="00D9372B" w:rsidRDefault="00D9372B" w:rsidP="005F744A">
      <w:pPr>
        <w:jc w:val="center"/>
        <w:rPr>
          <w:rFonts w:ascii="Arial" w:hAnsi="Arial" w:cs="Arial"/>
          <w:b/>
          <w:color w:val="000000" w:themeColor="text1"/>
          <w:sz w:val="24"/>
          <w:szCs w:val="24"/>
        </w:rPr>
      </w:pPr>
    </w:p>
    <w:p w:rsidR="00D9372B" w:rsidRPr="005F744A" w:rsidRDefault="00D9372B" w:rsidP="005F744A">
      <w:pPr>
        <w:jc w:val="center"/>
        <w:rPr>
          <w:rFonts w:ascii="Arial" w:hAnsi="Arial" w:cs="Arial"/>
          <w:b/>
          <w:color w:val="000000" w:themeColor="text1"/>
          <w:sz w:val="24"/>
          <w:szCs w:val="24"/>
        </w:rPr>
      </w:pPr>
      <w:bookmarkStart w:id="0" w:name="_GoBack"/>
      <w:bookmarkEnd w:id="0"/>
    </w:p>
    <w:p w:rsidR="005F744A" w:rsidRPr="005F744A" w:rsidRDefault="005F744A" w:rsidP="005F744A">
      <w:pPr>
        <w:jc w:val="center"/>
        <w:rPr>
          <w:rFonts w:ascii="Arial" w:hAnsi="Arial" w:cs="Arial"/>
          <w:b/>
          <w:color w:val="000000" w:themeColor="text1"/>
          <w:sz w:val="24"/>
          <w:szCs w:val="24"/>
        </w:rPr>
      </w:pPr>
      <w:r w:rsidRPr="005F744A">
        <w:rPr>
          <w:rFonts w:ascii="Arial" w:hAnsi="Arial" w:cs="Arial"/>
          <w:b/>
          <w:color w:val="000000" w:themeColor="text1"/>
          <w:sz w:val="24"/>
          <w:szCs w:val="24"/>
        </w:rPr>
        <w:lastRenderedPageBreak/>
        <w:t>PROYECTO DE DIRECTIVA QUE REGULA EL SERVICIO DE BASE GRÁFICA REGISTRAL EN ARCHIVO DIGITAL APROBADO POR DECRETO SUPREMO N° 004-2013-JUS</w:t>
      </w:r>
    </w:p>
    <w:p w:rsidR="005F744A" w:rsidRPr="005F744A" w:rsidRDefault="005F744A" w:rsidP="005F744A">
      <w:pPr>
        <w:pStyle w:val="Texto"/>
        <w:widowControl w:val="0"/>
        <w:numPr>
          <w:ilvl w:val="0"/>
          <w:numId w:val="1"/>
        </w:numPr>
        <w:pBdr>
          <w:top w:val="single" w:sz="4" w:space="0" w:color="auto"/>
          <w:left w:val="single" w:sz="4" w:space="4" w:color="auto"/>
          <w:bottom w:val="single" w:sz="4" w:space="1" w:color="auto"/>
          <w:right w:val="single" w:sz="4" w:space="4" w:color="auto"/>
        </w:pBdr>
        <w:shd w:val="clear" w:color="auto" w:fill="BFBFBF"/>
        <w:tabs>
          <w:tab w:val="clear" w:pos="720"/>
          <w:tab w:val="left" w:pos="284"/>
        </w:tabs>
        <w:ind w:left="284" w:hanging="284"/>
        <w:jc w:val="both"/>
        <w:outlineLvl w:val="0"/>
        <w:rPr>
          <w:rFonts w:ascii="Arial" w:hAnsi="Arial" w:cs="Arial"/>
          <w:b/>
          <w:bCs/>
          <w:color w:val="000000" w:themeColor="text1"/>
        </w:rPr>
      </w:pPr>
      <w:r w:rsidRPr="005F744A">
        <w:rPr>
          <w:rFonts w:ascii="Arial" w:hAnsi="Arial" w:cs="Arial"/>
          <w:b/>
          <w:bCs/>
          <w:color w:val="000000" w:themeColor="text1"/>
        </w:rPr>
        <w:t>OBJETIVO</w:t>
      </w:r>
    </w:p>
    <w:p w:rsidR="005F744A" w:rsidRPr="005F744A" w:rsidRDefault="005F744A" w:rsidP="005F744A">
      <w:pPr>
        <w:spacing w:before="120"/>
        <w:jc w:val="both"/>
        <w:rPr>
          <w:rFonts w:ascii="Arial" w:hAnsi="Arial" w:cs="Arial"/>
          <w:color w:val="000000" w:themeColor="text1"/>
          <w:sz w:val="24"/>
          <w:szCs w:val="24"/>
        </w:rPr>
      </w:pPr>
      <w:r w:rsidRPr="005F744A">
        <w:rPr>
          <w:rFonts w:ascii="Arial" w:hAnsi="Arial" w:cs="Arial"/>
          <w:color w:val="000000" w:themeColor="text1"/>
          <w:sz w:val="24"/>
          <w:szCs w:val="24"/>
        </w:rPr>
        <w:t xml:space="preserve">Establecer los requisitos y procedimiento para el otorgamiento del servicio de </w:t>
      </w:r>
      <w:proofErr w:type="spellStart"/>
      <w:r w:rsidRPr="005F744A">
        <w:rPr>
          <w:rFonts w:ascii="Arial" w:hAnsi="Arial" w:cs="Arial"/>
          <w:color w:val="000000" w:themeColor="text1"/>
          <w:sz w:val="24"/>
          <w:szCs w:val="24"/>
        </w:rPr>
        <w:t>de</w:t>
      </w:r>
      <w:proofErr w:type="spellEnd"/>
      <w:r w:rsidRPr="005F744A">
        <w:rPr>
          <w:rFonts w:ascii="Arial" w:hAnsi="Arial" w:cs="Arial"/>
          <w:color w:val="000000" w:themeColor="text1"/>
          <w:sz w:val="24"/>
          <w:szCs w:val="24"/>
        </w:rPr>
        <w:t xml:space="preserve"> Base Gráfica Registral en archivo digital.</w:t>
      </w:r>
    </w:p>
    <w:p w:rsidR="005F744A" w:rsidRPr="005F744A" w:rsidRDefault="005F744A" w:rsidP="005F744A">
      <w:pPr>
        <w:spacing w:before="120"/>
        <w:jc w:val="both"/>
        <w:rPr>
          <w:rFonts w:ascii="Arial" w:hAnsi="Arial" w:cs="Arial"/>
          <w:color w:val="000000" w:themeColor="text1"/>
          <w:sz w:val="24"/>
          <w:szCs w:val="24"/>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bCs/>
          <w:color w:val="000000" w:themeColor="text1"/>
        </w:rPr>
      </w:pPr>
      <w:r w:rsidRPr="005F744A">
        <w:rPr>
          <w:rFonts w:ascii="Arial" w:hAnsi="Arial" w:cs="Arial"/>
          <w:b/>
          <w:bCs/>
          <w:color w:val="000000" w:themeColor="text1"/>
        </w:rPr>
        <w:t>FINALIDAD</w:t>
      </w:r>
    </w:p>
    <w:p w:rsidR="005F744A" w:rsidRPr="005F744A" w:rsidRDefault="005F744A" w:rsidP="005F744A">
      <w:pPr>
        <w:spacing w:before="120"/>
        <w:jc w:val="both"/>
        <w:rPr>
          <w:rFonts w:ascii="Arial" w:hAnsi="Arial" w:cs="Arial"/>
          <w:color w:val="000000" w:themeColor="text1"/>
          <w:sz w:val="24"/>
          <w:szCs w:val="24"/>
        </w:rPr>
      </w:pPr>
      <w:r w:rsidRPr="005F744A">
        <w:rPr>
          <w:rFonts w:ascii="Arial" w:hAnsi="Arial" w:cs="Arial"/>
          <w:color w:val="000000" w:themeColor="text1"/>
          <w:sz w:val="24"/>
          <w:szCs w:val="24"/>
        </w:rPr>
        <w:t>Contar con procedimientos que permitan que la prestación del servicio de Base Gráfica Registral sea ágil, eficiente y estandarizada a nivel nacional.</w:t>
      </w:r>
    </w:p>
    <w:p w:rsidR="005F744A" w:rsidRPr="005F744A" w:rsidRDefault="005F744A" w:rsidP="005F744A">
      <w:pPr>
        <w:spacing w:before="120"/>
        <w:jc w:val="both"/>
        <w:rPr>
          <w:rFonts w:ascii="Arial" w:hAnsi="Arial" w:cs="Arial"/>
          <w:color w:val="000000" w:themeColor="text1"/>
          <w:sz w:val="24"/>
          <w:szCs w:val="24"/>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bCs/>
          <w:color w:val="000000" w:themeColor="text1"/>
        </w:rPr>
      </w:pPr>
      <w:r w:rsidRPr="005F744A">
        <w:rPr>
          <w:rFonts w:ascii="Arial" w:hAnsi="Arial" w:cs="Arial"/>
          <w:b/>
          <w:bCs/>
          <w:color w:val="000000" w:themeColor="text1"/>
        </w:rPr>
        <w:t>BASE LEGAL</w:t>
      </w:r>
    </w:p>
    <w:p w:rsidR="005F744A" w:rsidRPr="005F744A" w:rsidRDefault="005F744A" w:rsidP="005F744A">
      <w:pPr>
        <w:pStyle w:val="Prrafodelista"/>
        <w:ind w:left="426"/>
        <w:jc w:val="both"/>
        <w:rPr>
          <w:rFonts w:ascii="Arial" w:hAnsi="Arial" w:cs="Arial"/>
          <w:color w:val="000000" w:themeColor="text1"/>
          <w:sz w:val="24"/>
          <w:szCs w:val="24"/>
        </w:rPr>
      </w:pPr>
    </w:p>
    <w:p w:rsidR="005F744A" w:rsidRPr="005F744A" w:rsidRDefault="005F744A" w:rsidP="005F744A">
      <w:pPr>
        <w:pStyle w:val="Prrafodelista"/>
        <w:numPr>
          <w:ilvl w:val="0"/>
          <w:numId w:val="12"/>
        </w:numPr>
        <w:ind w:left="426" w:hanging="426"/>
        <w:jc w:val="both"/>
        <w:rPr>
          <w:rFonts w:ascii="Arial" w:hAnsi="Arial" w:cs="Arial"/>
          <w:color w:val="000000" w:themeColor="text1"/>
          <w:sz w:val="24"/>
          <w:szCs w:val="24"/>
        </w:rPr>
      </w:pPr>
      <w:r w:rsidRPr="005F744A">
        <w:rPr>
          <w:rFonts w:ascii="Arial" w:hAnsi="Arial" w:cs="Arial"/>
          <w:color w:val="000000" w:themeColor="text1"/>
          <w:sz w:val="24"/>
          <w:szCs w:val="24"/>
        </w:rPr>
        <w:t>Decreto Supremo N°004-2013-JUS, que apruébala tasa registral para el servicio de base gráfica catastral en Archivo Digital.</w:t>
      </w:r>
    </w:p>
    <w:p w:rsidR="005F744A" w:rsidRPr="005F744A" w:rsidRDefault="005F744A" w:rsidP="005F744A">
      <w:pPr>
        <w:pStyle w:val="Prrafodelista"/>
        <w:numPr>
          <w:ilvl w:val="0"/>
          <w:numId w:val="12"/>
        </w:numPr>
        <w:ind w:left="426" w:hanging="426"/>
        <w:jc w:val="both"/>
        <w:rPr>
          <w:rFonts w:ascii="Arial" w:hAnsi="Arial" w:cs="Arial"/>
          <w:color w:val="000000" w:themeColor="text1"/>
          <w:sz w:val="24"/>
          <w:szCs w:val="24"/>
        </w:rPr>
      </w:pPr>
      <w:r w:rsidRPr="005F744A">
        <w:rPr>
          <w:rFonts w:ascii="Arial" w:hAnsi="Arial" w:cs="Arial"/>
          <w:color w:val="000000" w:themeColor="text1"/>
          <w:sz w:val="24"/>
          <w:szCs w:val="24"/>
        </w:rPr>
        <w:t>Resolución de la Superintendencia Nacional de los Registros Públicos N°313-2008-SUNARP/SN, que aprueba los lineamientos para la formulación y aprobación de Directivas de la Superintendencia Nacional de los Registros Públicos.</w:t>
      </w:r>
    </w:p>
    <w:p w:rsidR="005F744A" w:rsidRPr="005F744A" w:rsidRDefault="005F744A" w:rsidP="005F744A">
      <w:pPr>
        <w:pStyle w:val="Prrafodelista"/>
        <w:numPr>
          <w:ilvl w:val="0"/>
          <w:numId w:val="12"/>
        </w:numPr>
        <w:ind w:left="426" w:hanging="426"/>
        <w:jc w:val="both"/>
        <w:rPr>
          <w:rFonts w:ascii="Arial" w:hAnsi="Arial" w:cs="Arial"/>
          <w:color w:val="000000" w:themeColor="text1"/>
          <w:sz w:val="24"/>
          <w:szCs w:val="24"/>
        </w:rPr>
      </w:pPr>
      <w:r w:rsidRPr="005F744A">
        <w:rPr>
          <w:rFonts w:ascii="Arial" w:hAnsi="Arial" w:cs="Arial"/>
          <w:color w:val="000000" w:themeColor="text1"/>
          <w:sz w:val="24"/>
          <w:szCs w:val="24"/>
        </w:rPr>
        <w:t>Resolución del Superintendente Nacional de los Registros Públicos N°281-2015-SUNARP/SN, que aprueba el Reglamento del Servicio de Publicidad Registral.</w:t>
      </w:r>
    </w:p>
    <w:p w:rsidR="005F744A" w:rsidRPr="005F744A" w:rsidRDefault="005F744A" w:rsidP="005F744A">
      <w:pPr>
        <w:pStyle w:val="Prrafodelista"/>
        <w:numPr>
          <w:ilvl w:val="0"/>
          <w:numId w:val="12"/>
        </w:numPr>
        <w:ind w:left="426" w:hanging="426"/>
        <w:jc w:val="both"/>
        <w:rPr>
          <w:rFonts w:ascii="Arial" w:hAnsi="Arial" w:cs="Arial"/>
          <w:color w:val="000000" w:themeColor="text1"/>
          <w:sz w:val="24"/>
          <w:szCs w:val="24"/>
        </w:rPr>
      </w:pPr>
      <w:r w:rsidRPr="005F744A">
        <w:rPr>
          <w:rFonts w:ascii="Arial" w:hAnsi="Arial" w:cs="Arial"/>
          <w:color w:val="000000" w:themeColor="text1"/>
          <w:sz w:val="24"/>
          <w:szCs w:val="24"/>
        </w:rPr>
        <w:t>Resolución del Superintendente Adjunto de los Registros Públicos N°064-2011-SUNARP/SA, que aprueba la Directiva sobre Estructura de la Base Gráfica GIS del Registro de Predios.</w:t>
      </w:r>
    </w:p>
    <w:p w:rsidR="005F744A" w:rsidRPr="005F744A" w:rsidRDefault="005F744A" w:rsidP="005F744A">
      <w:pPr>
        <w:pStyle w:val="Prrafodelista"/>
        <w:numPr>
          <w:ilvl w:val="0"/>
          <w:numId w:val="12"/>
        </w:numPr>
        <w:ind w:left="426" w:hanging="426"/>
        <w:jc w:val="both"/>
        <w:rPr>
          <w:rFonts w:ascii="Arial" w:hAnsi="Arial" w:cs="Arial"/>
          <w:color w:val="000000" w:themeColor="text1"/>
          <w:sz w:val="24"/>
          <w:szCs w:val="24"/>
        </w:rPr>
      </w:pPr>
      <w:r w:rsidRPr="005F744A">
        <w:rPr>
          <w:rFonts w:ascii="Arial" w:hAnsi="Arial" w:cs="Arial"/>
          <w:color w:val="000000" w:themeColor="text1"/>
          <w:sz w:val="24"/>
          <w:szCs w:val="24"/>
        </w:rPr>
        <w:t xml:space="preserve">Resolución del Secretario General de la Superintendencia Nacional de los Registros Públicos N° 043-2018-SUNARP/SG, que aprueba la Directiva N° 03-2018-SUANRP/SG, Directiva que establece </w:t>
      </w:r>
      <w:r w:rsidRPr="005F744A">
        <w:rPr>
          <w:rFonts w:ascii="Arial" w:hAnsi="Arial" w:cs="Arial"/>
          <w:color w:val="000000" w:themeColor="text1"/>
          <w:sz w:val="24"/>
          <w:szCs w:val="24"/>
          <w:lang w:eastAsia="es-PE"/>
        </w:rPr>
        <w:t>los Lineamientos de Gestión y Medidas de Seguridad de la Información dé las Áreas de Catastro.</w:t>
      </w:r>
    </w:p>
    <w:p w:rsidR="005F744A" w:rsidRPr="005F744A" w:rsidRDefault="005F744A" w:rsidP="005F744A">
      <w:pPr>
        <w:jc w:val="both"/>
        <w:rPr>
          <w:rFonts w:ascii="Arial" w:hAnsi="Arial" w:cs="Arial"/>
          <w:color w:val="000000" w:themeColor="text1"/>
          <w:sz w:val="24"/>
          <w:szCs w:val="24"/>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bCs/>
          <w:color w:val="000000" w:themeColor="text1"/>
        </w:rPr>
      </w:pPr>
      <w:r w:rsidRPr="005F744A">
        <w:rPr>
          <w:rFonts w:ascii="Arial" w:hAnsi="Arial" w:cs="Arial"/>
          <w:b/>
          <w:bCs/>
          <w:color w:val="000000" w:themeColor="text1"/>
        </w:rPr>
        <w:t>ALCANCE</w:t>
      </w:r>
    </w:p>
    <w:p w:rsidR="005F744A" w:rsidRPr="005F744A" w:rsidRDefault="005F744A" w:rsidP="005F744A">
      <w:pPr>
        <w:spacing w:before="120"/>
        <w:jc w:val="both"/>
        <w:rPr>
          <w:rFonts w:ascii="Arial" w:hAnsi="Arial" w:cs="Arial"/>
          <w:color w:val="000000" w:themeColor="text1"/>
          <w:sz w:val="24"/>
          <w:szCs w:val="24"/>
        </w:rPr>
      </w:pPr>
      <w:r w:rsidRPr="005F744A">
        <w:rPr>
          <w:rFonts w:ascii="Arial" w:hAnsi="Arial" w:cs="Arial"/>
          <w:color w:val="000000" w:themeColor="text1"/>
          <w:sz w:val="24"/>
          <w:szCs w:val="24"/>
        </w:rPr>
        <w:t>La presente directiva es de cumplimiento para todos los Órganos Desconcentrados de la SUNARP.</w:t>
      </w:r>
    </w:p>
    <w:p w:rsidR="005F744A" w:rsidRPr="005F744A" w:rsidRDefault="005F744A" w:rsidP="005F744A">
      <w:pPr>
        <w:spacing w:before="120"/>
        <w:jc w:val="both"/>
        <w:rPr>
          <w:rFonts w:ascii="Arial" w:hAnsi="Arial" w:cs="Arial"/>
          <w:color w:val="000000" w:themeColor="text1"/>
          <w:sz w:val="24"/>
          <w:szCs w:val="24"/>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bCs/>
          <w:color w:val="000000" w:themeColor="text1"/>
        </w:rPr>
      </w:pPr>
      <w:r w:rsidRPr="005F744A">
        <w:rPr>
          <w:rFonts w:ascii="Arial" w:hAnsi="Arial" w:cs="Arial"/>
          <w:b/>
          <w:bCs/>
          <w:color w:val="000000" w:themeColor="text1"/>
        </w:rPr>
        <w:t>GLOSARIO Y DEFINICIONES</w:t>
      </w:r>
    </w:p>
    <w:p w:rsidR="005F744A" w:rsidRPr="005F744A" w:rsidRDefault="005F744A" w:rsidP="005F744A">
      <w:pPr>
        <w:spacing w:before="240"/>
        <w:contextualSpacing/>
        <w:jc w:val="both"/>
        <w:rPr>
          <w:rFonts w:ascii="Arial" w:hAnsi="Arial" w:cs="Arial"/>
          <w:color w:val="000000" w:themeColor="text1"/>
          <w:sz w:val="24"/>
          <w:szCs w:val="24"/>
        </w:rPr>
      </w:pPr>
      <w:r w:rsidRPr="005F744A">
        <w:rPr>
          <w:rFonts w:ascii="Arial" w:hAnsi="Arial" w:cs="Arial"/>
          <w:color w:val="000000" w:themeColor="text1"/>
          <w:sz w:val="24"/>
          <w:szCs w:val="24"/>
        </w:rPr>
        <w:t>Para efectos de la presente directiva se entiende por:</w:t>
      </w:r>
    </w:p>
    <w:p w:rsidR="005F744A" w:rsidRPr="005F744A" w:rsidRDefault="005F744A" w:rsidP="005F744A">
      <w:pPr>
        <w:contextualSpacing/>
        <w:jc w:val="both"/>
        <w:rPr>
          <w:rFonts w:ascii="Arial" w:hAnsi="Arial" w:cs="Arial"/>
          <w:b/>
          <w:color w:val="000000" w:themeColor="text1"/>
          <w:sz w:val="24"/>
          <w:szCs w:val="24"/>
        </w:rPr>
      </w:pPr>
    </w:p>
    <w:p w:rsidR="005F744A" w:rsidRPr="005F744A" w:rsidRDefault="005F744A" w:rsidP="005F744A">
      <w:pPr>
        <w:contextualSpacing/>
        <w:jc w:val="both"/>
        <w:rPr>
          <w:rFonts w:ascii="Arial" w:hAnsi="Arial" w:cs="Arial"/>
          <w:color w:val="000000" w:themeColor="text1"/>
          <w:sz w:val="24"/>
          <w:szCs w:val="24"/>
        </w:rPr>
      </w:pPr>
      <w:r w:rsidRPr="005F744A">
        <w:rPr>
          <w:rFonts w:ascii="Arial" w:hAnsi="Arial" w:cs="Arial"/>
          <w:b/>
          <w:color w:val="000000" w:themeColor="text1"/>
          <w:sz w:val="24"/>
          <w:szCs w:val="24"/>
        </w:rPr>
        <w:t>BGR:</w:t>
      </w:r>
      <w:r w:rsidRPr="005F744A">
        <w:rPr>
          <w:rFonts w:ascii="Arial" w:hAnsi="Arial" w:cs="Arial"/>
          <w:color w:val="000000" w:themeColor="text1"/>
          <w:sz w:val="24"/>
          <w:szCs w:val="24"/>
        </w:rPr>
        <w:t xml:space="preserve"> Base Gráfica Registral.</w:t>
      </w:r>
    </w:p>
    <w:p w:rsidR="005F744A" w:rsidRPr="005F744A" w:rsidRDefault="005F744A" w:rsidP="005F744A">
      <w:pPr>
        <w:spacing w:before="240"/>
        <w:jc w:val="both"/>
        <w:rPr>
          <w:rFonts w:ascii="Arial" w:hAnsi="Arial" w:cs="Arial"/>
          <w:color w:val="000000" w:themeColor="text1"/>
          <w:sz w:val="24"/>
          <w:szCs w:val="24"/>
          <w:shd w:val="clear" w:color="auto" w:fill="FFFFFF"/>
        </w:rPr>
      </w:pPr>
      <w:r w:rsidRPr="005F744A">
        <w:rPr>
          <w:rFonts w:ascii="Arial" w:hAnsi="Arial" w:cs="Arial"/>
          <w:b/>
          <w:color w:val="000000" w:themeColor="text1"/>
          <w:sz w:val="24"/>
          <w:szCs w:val="24"/>
        </w:rPr>
        <w:t>Base Gráfica Registral:</w:t>
      </w:r>
      <w:r w:rsidRPr="005F744A">
        <w:rPr>
          <w:rFonts w:ascii="Arial" w:hAnsi="Arial" w:cs="Arial"/>
          <w:color w:val="000000" w:themeColor="text1"/>
          <w:sz w:val="24"/>
          <w:szCs w:val="24"/>
        </w:rPr>
        <w:t xml:space="preserve"> Es un sistema de información gráfica registral estructurada y organizada, constituida por la base de datos gráficos y alfanuméricos automatizados de predios inscritos en el Registro de Predios, a partir de la información técnica que obra en los títulos archivado, elaborado sobre una Cartografía Base</w:t>
      </w:r>
      <w:r w:rsidRPr="005F744A">
        <w:rPr>
          <w:rFonts w:ascii="Arial" w:hAnsi="Arial" w:cs="Arial"/>
          <w:color w:val="000000" w:themeColor="text1"/>
          <w:sz w:val="24"/>
          <w:szCs w:val="24"/>
          <w:shd w:val="clear" w:color="auto" w:fill="FFFFFF"/>
        </w:rPr>
        <w:t>.</w:t>
      </w:r>
    </w:p>
    <w:p w:rsidR="005F744A" w:rsidRPr="005F744A" w:rsidRDefault="005F744A" w:rsidP="005F744A">
      <w:pPr>
        <w:jc w:val="both"/>
        <w:rPr>
          <w:rFonts w:ascii="Arial" w:hAnsi="Arial" w:cs="Arial"/>
          <w:color w:val="000000" w:themeColor="text1"/>
          <w:sz w:val="24"/>
          <w:szCs w:val="24"/>
          <w:shd w:val="clear" w:color="auto" w:fill="FEFEFE"/>
        </w:rPr>
      </w:pPr>
      <w:r w:rsidRPr="005F744A">
        <w:rPr>
          <w:rFonts w:ascii="Arial" w:hAnsi="Arial" w:cs="Arial"/>
          <w:b/>
          <w:color w:val="000000" w:themeColor="text1"/>
          <w:sz w:val="24"/>
          <w:szCs w:val="24"/>
          <w:shd w:val="clear" w:color="auto" w:fill="FFFFFF"/>
        </w:rPr>
        <w:lastRenderedPageBreak/>
        <w:t xml:space="preserve">Grilla: </w:t>
      </w:r>
      <w:r w:rsidRPr="005F744A">
        <w:rPr>
          <w:rFonts w:ascii="Arial" w:hAnsi="Arial" w:cs="Arial"/>
          <w:color w:val="000000" w:themeColor="text1"/>
          <w:sz w:val="24"/>
          <w:szCs w:val="24"/>
          <w:shd w:val="clear" w:color="auto" w:fill="FFFFFF"/>
        </w:rPr>
        <w:t>Cuadricula, </w:t>
      </w:r>
      <w:r w:rsidRPr="005F744A">
        <w:rPr>
          <w:rFonts w:ascii="Arial" w:hAnsi="Arial" w:cs="Arial"/>
          <w:bCs/>
          <w:color w:val="000000" w:themeColor="text1"/>
          <w:sz w:val="24"/>
          <w:szCs w:val="24"/>
          <w:shd w:val="clear" w:color="auto" w:fill="FFFFFF"/>
        </w:rPr>
        <w:t xml:space="preserve">malla, rejilla o red; son </w:t>
      </w:r>
      <w:r w:rsidRPr="005F744A">
        <w:rPr>
          <w:rFonts w:ascii="Arial" w:hAnsi="Arial" w:cs="Arial"/>
          <w:color w:val="000000" w:themeColor="text1"/>
          <w:sz w:val="24"/>
          <w:szCs w:val="24"/>
          <w:shd w:val="clear" w:color="auto" w:fill="FEFEFE"/>
        </w:rPr>
        <w:t xml:space="preserve"> líneas horizontales y verticales espaciadas uniformemente que </w:t>
      </w:r>
      <w:r w:rsidRPr="005F744A">
        <w:rPr>
          <w:rFonts w:ascii="Arial" w:hAnsi="Arial" w:cs="Arial"/>
          <w:bCs/>
          <w:color w:val="000000" w:themeColor="text1"/>
          <w:sz w:val="24"/>
          <w:szCs w:val="24"/>
          <w:shd w:val="clear" w:color="auto" w:fill="FFFFFF"/>
        </w:rPr>
        <w:t>se encuentran referenciadas</w:t>
      </w:r>
      <w:r w:rsidRPr="005F744A">
        <w:rPr>
          <w:rFonts w:ascii="Arial" w:hAnsi="Arial" w:cs="Arial"/>
          <w:color w:val="000000" w:themeColor="text1"/>
          <w:sz w:val="24"/>
          <w:szCs w:val="24"/>
          <w:shd w:val="clear" w:color="auto" w:fill="FFFFFF"/>
        </w:rPr>
        <w:t> en un </w:t>
      </w:r>
      <w:hyperlink r:id="rId5" w:tooltip="Sistema de coordenadas" w:history="1">
        <w:r w:rsidRPr="005F744A">
          <w:rPr>
            <w:rStyle w:val="Hipervnculo"/>
            <w:rFonts w:ascii="Arial" w:hAnsi="Arial" w:cs="Arial"/>
            <w:color w:val="000000" w:themeColor="text1"/>
            <w:sz w:val="24"/>
            <w:szCs w:val="24"/>
            <w:shd w:val="clear" w:color="auto" w:fill="FFFFFF"/>
          </w:rPr>
          <w:t>sistema de coordenadas</w:t>
        </w:r>
      </w:hyperlink>
      <w:r w:rsidRPr="005F744A">
        <w:rPr>
          <w:rStyle w:val="Hipervnculo"/>
          <w:rFonts w:ascii="Arial" w:hAnsi="Arial" w:cs="Arial"/>
          <w:color w:val="000000" w:themeColor="text1"/>
          <w:sz w:val="24"/>
          <w:szCs w:val="24"/>
          <w:shd w:val="clear" w:color="auto" w:fill="FFFFFF"/>
        </w:rPr>
        <w:t xml:space="preserve"> y</w:t>
      </w:r>
      <w:r w:rsidRPr="005F744A">
        <w:rPr>
          <w:rFonts w:ascii="Arial" w:hAnsi="Arial" w:cs="Arial"/>
          <w:color w:val="000000" w:themeColor="text1"/>
          <w:sz w:val="24"/>
          <w:szCs w:val="24"/>
          <w:shd w:val="clear" w:color="auto" w:fill="FEFEFE"/>
        </w:rPr>
        <w:t xml:space="preserve"> se utiliza para ubicar cartográficamente en un plano.</w:t>
      </w:r>
    </w:p>
    <w:p w:rsidR="005F744A" w:rsidRPr="005F744A" w:rsidRDefault="005F744A" w:rsidP="005F744A">
      <w:pPr>
        <w:jc w:val="both"/>
        <w:rPr>
          <w:rFonts w:ascii="Arial" w:hAnsi="Arial" w:cs="Arial"/>
          <w:color w:val="000000" w:themeColor="text1"/>
          <w:sz w:val="24"/>
          <w:szCs w:val="24"/>
          <w:shd w:val="clear" w:color="auto" w:fill="FFFFFF"/>
        </w:rPr>
      </w:pPr>
    </w:p>
    <w:p w:rsidR="005F744A" w:rsidRPr="005F744A" w:rsidRDefault="005F744A" w:rsidP="005F744A">
      <w:pPr>
        <w:jc w:val="both"/>
        <w:rPr>
          <w:rFonts w:ascii="Arial" w:hAnsi="Arial" w:cs="Arial"/>
          <w:color w:val="000000" w:themeColor="text1"/>
          <w:sz w:val="24"/>
          <w:szCs w:val="24"/>
          <w:shd w:val="clear" w:color="auto" w:fill="FFFFFF"/>
        </w:rPr>
      </w:pPr>
      <w:r w:rsidRPr="005F744A">
        <w:rPr>
          <w:rFonts w:ascii="Arial" w:hAnsi="Arial" w:cs="Arial"/>
          <w:b/>
          <w:color w:val="000000" w:themeColor="text1"/>
          <w:sz w:val="24"/>
          <w:szCs w:val="24"/>
          <w:shd w:val="clear" w:color="auto" w:fill="FFFFFF"/>
        </w:rPr>
        <w:t xml:space="preserve">Ángulo Interno: </w:t>
      </w:r>
      <w:r w:rsidRPr="005F744A">
        <w:rPr>
          <w:rFonts w:ascii="Arial" w:hAnsi="Arial" w:cs="Arial"/>
          <w:color w:val="000000" w:themeColor="text1"/>
          <w:sz w:val="24"/>
          <w:szCs w:val="24"/>
          <w:shd w:val="clear" w:color="auto" w:fill="FFFFFF"/>
        </w:rPr>
        <w:t>Es un ángulo formado por dos lados de un polígono que comparten un vértice común, está contenido dentro del polígono.</w:t>
      </w:r>
    </w:p>
    <w:p w:rsidR="005F744A" w:rsidRPr="005F744A" w:rsidRDefault="005F744A" w:rsidP="005F744A">
      <w:pPr>
        <w:jc w:val="both"/>
        <w:rPr>
          <w:rFonts w:ascii="Arial" w:hAnsi="Arial" w:cs="Arial"/>
          <w:color w:val="000000" w:themeColor="text1"/>
          <w:sz w:val="24"/>
          <w:szCs w:val="24"/>
          <w:shd w:val="clear" w:color="auto" w:fill="FFFFFF"/>
        </w:rPr>
      </w:pPr>
    </w:p>
    <w:p w:rsidR="005F744A" w:rsidRPr="005F744A" w:rsidRDefault="005F744A" w:rsidP="005F744A">
      <w:pPr>
        <w:jc w:val="both"/>
        <w:rPr>
          <w:rFonts w:ascii="Arial" w:hAnsi="Arial" w:cs="Arial"/>
          <w:bCs/>
          <w:color w:val="000000" w:themeColor="text1"/>
          <w:sz w:val="24"/>
          <w:szCs w:val="24"/>
          <w:shd w:val="clear" w:color="auto" w:fill="FFFFFF"/>
        </w:rPr>
      </w:pPr>
      <w:r w:rsidRPr="005F744A">
        <w:rPr>
          <w:rFonts w:ascii="Arial" w:hAnsi="Arial" w:cs="Arial"/>
          <w:b/>
          <w:color w:val="000000" w:themeColor="text1"/>
          <w:sz w:val="24"/>
          <w:szCs w:val="24"/>
          <w:shd w:val="clear" w:color="auto" w:fill="FFFFFF"/>
        </w:rPr>
        <w:t xml:space="preserve">Polígono: </w:t>
      </w:r>
      <w:r w:rsidRPr="005F744A">
        <w:rPr>
          <w:rFonts w:ascii="Arial" w:hAnsi="Arial" w:cs="Arial"/>
          <w:bCs/>
          <w:color w:val="000000" w:themeColor="text1"/>
          <w:sz w:val="24"/>
          <w:szCs w:val="24"/>
          <w:shd w:val="clear" w:color="auto" w:fill="FFFFFF"/>
        </w:rPr>
        <w:t>Figura geométrica graficada en la BGR que corresponde a la línea cerrada que delimita un predio inscrito.</w:t>
      </w:r>
    </w:p>
    <w:p w:rsidR="005F744A" w:rsidRPr="005F744A" w:rsidRDefault="005F744A" w:rsidP="005F744A">
      <w:pPr>
        <w:jc w:val="both"/>
        <w:rPr>
          <w:rFonts w:ascii="Arial" w:hAnsi="Arial" w:cs="Arial"/>
          <w:bCs/>
          <w:color w:val="000000" w:themeColor="text1"/>
          <w:sz w:val="24"/>
          <w:szCs w:val="24"/>
          <w:shd w:val="clear" w:color="auto" w:fill="FFFFFF"/>
        </w:rPr>
      </w:pPr>
    </w:p>
    <w:p w:rsidR="005F744A" w:rsidRPr="005F744A" w:rsidRDefault="005F744A" w:rsidP="005F744A">
      <w:pPr>
        <w:autoSpaceDE w:val="0"/>
        <w:autoSpaceDN w:val="0"/>
        <w:adjustRightInd w:val="0"/>
        <w:rPr>
          <w:rFonts w:ascii="Arial" w:hAnsi="Arial" w:cs="Arial"/>
          <w:color w:val="000000" w:themeColor="text1"/>
          <w:sz w:val="24"/>
          <w:szCs w:val="24"/>
          <w:lang w:eastAsia="es-PE"/>
        </w:rPr>
      </w:pPr>
      <w:r w:rsidRPr="005F744A">
        <w:rPr>
          <w:rFonts w:ascii="Arial" w:hAnsi="Arial" w:cs="Arial"/>
          <w:b/>
          <w:bCs/>
          <w:color w:val="000000" w:themeColor="text1"/>
          <w:sz w:val="24"/>
          <w:szCs w:val="24"/>
          <w:shd w:val="clear" w:color="auto" w:fill="FFFFFF"/>
        </w:rPr>
        <w:t xml:space="preserve">SHP: </w:t>
      </w:r>
      <w:r w:rsidRPr="005F744A">
        <w:rPr>
          <w:rFonts w:ascii="Arial" w:hAnsi="Arial" w:cs="Arial"/>
          <w:color w:val="000000" w:themeColor="text1"/>
          <w:sz w:val="24"/>
          <w:szCs w:val="24"/>
          <w:lang w:eastAsia="es-PE"/>
        </w:rPr>
        <w:t>(</w:t>
      </w:r>
      <w:proofErr w:type="spellStart"/>
      <w:r w:rsidRPr="005F744A">
        <w:rPr>
          <w:rFonts w:ascii="Arial" w:hAnsi="Arial" w:cs="Arial"/>
          <w:color w:val="000000" w:themeColor="text1"/>
          <w:sz w:val="24"/>
          <w:szCs w:val="24"/>
          <w:lang w:eastAsia="es-PE"/>
        </w:rPr>
        <w:t>Shapefile</w:t>
      </w:r>
      <w:proofErr w:type="spellEnd"/>
      <w:r w:rsidRPr="005F744A">
        <w:rPr>
          <w:rFonts w:ascii="Arial" w:hAnsi="Arial" w:cs="Arial"/>
          <w:color w:val="000000" w:themeColor="text1"/>
          <w:sz w:val="24"/>
          <w:szCs w:val="24"/>
          <w:lang w:eastAsia="es-PE"/>
        </w:rPr>
        <w:t>) Es un formato sencillo que almacena la ubicación, la forma y los atributos de las entidades geográficas.</w:t>
      </w:r>
    </w:p>
    <w:p w:rsidR="005F744A" w:rsidRPr="005F744A" w:rsidRDefault="005F744A" w:rsidP="005F744A">
      <w:pPr>
        <w:autoSpaceDE w:val="0"/>
        <w:autoSpaceDN w:val="0"/>
        <w:adjustRightInd w:val="0"/>
        <w:spacing w:before="240"/>
        <w:rPr>
          <w:rFonts w:ascii="Arial" w:hAnsi="Arial" w:cs="Arial"/>
          <w:color w:val="000000" w:themeColor="text1"/>
          <w:sz w:val="24"/>
          <w:szCs w:val="24"/>
          <w:lang w:eastAsia="es-PE"/>
        </w:rPr>
      </w:pPr>
      <w:r w:rsidRPr="005F744A">
        <w:rPr>
          <w:rFonts w:ascii="Arial" w:hAnsi="Arial" w:cs="Arial"/>
          <w:b/>
          <w:color w:val="000000" w:themeColor="text1"/>
          <w:sz w:val="24"/>
          <w:szCs w:val="24"/>
          <w:lang w:eastAsia="es-PE"/>
        </w:rPr>
        <w:t>SPRL:</w:t>
      </w:r>
      <w:r w:rsidRPr="005F744A">
        <w:rPr>
          <w:rFonts w:ascii="Arial" w:hAnsi="Arial" w:cs="Arial"/>
          <w:color w:val="000000" w:themeColor="text1"/>
          <w:sz w:val="24"/>
          <w:szCs w:val="24"/>
          <w:lang w:eastAsia="es-PE"/>
        </w:rPr>
        <w:t xml:space="preserve"> Servicio de Publicidad Registral en Línea</w:t>
      </w:r>
    </w:p>
    <w:p w:rsidR="005F744A" w:rsidRPr="005F744A" w:rsidRDefault="005F744A" w:rsidP="005F744A">
      <w:pPr>
        <w:autoSpaceDE w:val="0"/>
        <w:autoSpaceDN w:val="0"/>
        <w:adjustRightInd w:val="0"/>
        <w:rPr>
          <w:rFonts w:ascii="Arial" w:hAnsi="Arial" w:cs="Arial"/>
          <w:b/>
          <w:bCs/>
          <w:color w:val="000000" w:themeColor="text1"/>
          <w:sz w:val="24"/>
          <w:szCs w:val="24"/>
          <w:shd w:val="clear" w:color="auto" w:fill="FFFFFF"/>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bCs/>
          <w:color w:val="000000" w:themeColor="text1"/>
        </w:rPr>
      </w:pPr>
      <w:r w:rsidRPr="005F744A">
        <w:rPr>
          <w:rFonts w:ascii="Arial" w:hAnsi="Arial" w:cs="Arial"/>
          <w:b/>
          <w:snapToGrid w:val="0"/>
          <w:color w:val="000000" w:themeColor="text1"/>
        </w:rPr>
        <w:t xml:space="preserve">  DISPOSICIONES GENERALES</w:t>
      </w:r>
    </w:p>
    <w:p w:rsidR="005F744A" w:rsidRPr="005F744A" w:rsidRDefault="005F744A" w:rsidP="005F744A">
      <w:pPr>
        <w:pStyle w:val="Texto"/>
        <w:widowControl w:val="0"/>
        <w:ind w:left="993"/>
        <w:jc w:val="both"/>
        <w:outlineLvl w:val="0"/>
        <w:rPr>
          <w:rFonts w:ascii="Arial" w:hAnsi="Arial" w:cs="Arial"/>
          <w:color w:val="000000" w:themeColor="text1"/>
          <w:shd w:val="clear" w:color="auto" w:fill="FEFEFE"/>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color w:val="000000" w:themeColor="text1"/>
          <w:shd w:val="clear" w:color="auto" w:fill="FEFEFE"/>
        </w:rPr>
      </w:pPr>
      <w:r w:rsidRPr="005F744A">
        <w:rPr>
          <w:rFonts w:ascii="Arial" w:hAnsi="Arial" w:cs="Arial"/>
          <w:color w:val="000000" w:themeColor="text1"/>
          <w:shd w:val="clear" w:color="auto" w:fill="FEFEFE"/>
        </w:rPr>
        <w:t>El servicio de Base Gráfica Registral en archivo digital consiste en la entrega en archivo digital del polígono que corresponde a una partida registral del Registro de Predios.</w:t>
      </w:r>
    </w:p>
    <w:p w:rsidR="005F744A" w:rsidRPr="005F744A" w:rsidRDefault="005F744A" w:rsidP="005F744A">
      <w:pPr>
        <w:pStyle w:val="Texto"/>
        <w:widowControl w:val="0"/>
        <w:ind w:left="426"/>
        <w:jc w:val="both"/>
        <w:outlineLvl w:val="0"/>
        <w:rPr>
          <w:rFonts w:ascii="Arial" w:hAnsi="Arial" w:cs="Arial"/>
          <w:color w:val="000000" w:themeColor="text1"/>
          <w:shd w:val="clear" w:color="auto" w:fill="FEFEFE"/>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strike/>
          <w:color w:val="000000" w:themeColor="text1"/>
          <w:shd w:val="clear" w:color="auto" w:fill="FEFEFE"/>
        </w:rPr>
      </w:pPr>
      <w:r w:rsidRPr="005F744A">
        <w:rPr>
          <w:rFonts w:ascii="Arial" w:hAnsi="Arial" w:cs="Arial"/>
          <w:color w:val="000000" w:themeColor="text1"/>
          <w:shd w:val="clear" w:color="auto" w:fill="FEFEFE"/>
        </w:rPr>
        <w:t>El servicio de Base Gráfica Registral en archivo digital no incluye la elaboración de cuadro de coordenadas, grillas, ángulos internos, áreas superpuestas u otros por parte de las áreas de catastro a nivel nacional.</w:t>
      </w:r>
    </w:p>
    <w:p w:rsidR="005F744A" w:rsidRPr="005F744A" w:rsidRDefault="005F744A" w:rsidP="005F744A">
      <w:pPr>
        <w:pStyle w:val="Texto"/>
        <w:widowControl w:val="0"/>
        <w:ind w:left="426" w:hanging="426"/>
        <w:jc w:val="both"/>
        <w:outlineLvl w:val="0"/>
        <w:rPr>
          <w:rFonts w:ascii="Arial" w:hAnsi="Arial" w:cs="Arial"/>
          <w:strike/>
          <w:color w:val="000000" w:themeColor="text1"/>
          <w:shd w:val="clear" w:color="auto" w:fill="FEFEFE"/>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color w:val="000000" w:themeColor="text1"/>
          <w:shd w:val="clear" w:color="auto" w:fill="FEFEFE"/>
        </w:rPr>
      </w:pPr>
      <w:r w:rsidRPr="005F744A">
        <w:rPr>
          <w:rFonts w:ascii="Arial" w:hAnsi="Arial" w:cs="Arial"/>
          <w:color w:val="000000" w:themeColor="text1"/>
          <w:shd w:val="clear" w:color="auto" w:fill="FEFEFE"/>
        </w:rPr>
        <w:t>La información que se brinda a través de este servicio tendrá carácter informativo conforme conste en la Base Gráfica Registral a la fecha en la que es extraída la información.</w:t>
      </w:r>
    </w:p>
    <w:p w:rsidR="005F744A" w:rsidRPr="005F744A" w:rsidRDefault="005F744A" w:rsidP="005F744A">
      <w:pPr>
        <w:pStyle w:val="Texto"/>
        <w:widowControl w:val="0"/>
        <w:ind w:left="426" w:hanging="426"/>
        <w:jc w:val="both"/>
        <w:outlineLvl w:val="0"/>
        <w:rPr>
          <w:rFonts w:ascii="Arial" w:hAnsi="Arial" w:cs="Arial"/>
          <w:color w:val="000000" w:themeColor="text1"/>
          <w:shd w:val="clear" w:color="auto" w:fill="FEFEFE"/>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color w:val="000000" w:themeColor="text1"/>
          <w:shd w:val="clear" w:color="auto" w:fill="FEFEFE"/>
        </w:rPr>
      </w:pPr>
      <w:r w:rsidRPr="005F744A">
        <w:rPr>
          <w:rFonts w:ascii="Arial" w:hAnsi="Arial" w:cs="Arial"/>
          <w:color w:val="000000" w:themeColor="text1"/>
          <w:shd w:val="clear" w:color="auto" w:fill="FEFEFE"/>
        </w:rPr>
        <w:t>La solicitud del servicio de Base Gráfica Registral en archivo digital debe contener un solo servicio, vinculado a una partida registral.</w:t>
      </w:r>
    </w:p>
    <w:p w:rsidR="005F744A" w:rsidRPr="005F744A" w:rsidRDefault="005F744A" w:rsidP="005F744A">
      <w:pPr>
        <w:pStyle w:val="Texto"/>
        <w:widowControl w:val="0"/>
        <w:ind w:left="426" w:hanging="426"/>
        <w:jc w:val="both"/>
        <w:outlineLvl w:val="0"/>
        <w:rPr>
          <w:rFonts w:ascii="Arial" w:hAnsi="Arial" w:cs="Arial"/>
          <w:color w:val="000000" w:themeColor="text1"/>
          <w:shd w:val="clear" w:color="auto" w:fill="FEFEFE"/>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color w:val="000000" w:themeColor="text1"/>
        </w:rPr>
      </w:pPr>
      <w:r w:rsidRPr="005F744A">
        <w:rPr>
          <w:rFonts w:ascii="Arial" w:hAnsi="Arial" w:cs="Arial"/>
          <w:color w:val="000000" w:themeColor="text1"/>
          <w:shd w:val="clear" w:color="auto" w:fill="FEFEFE"/>
        </w:rPr>
        <w:t>La tasa señalada para este servicio corresponde a la obtención un (01) polígono correspondiente a una partida registral.</w:t>
      </w:r>
    </w:p>
    <w:p w:rsidR="005F744A" w:rsidRPr="005F744A" w:rsidRDefault="005F744A" w:rsidP="005F744A">
      <w:pPr>
        <w:pStyle w:val="Texto"/>
        <w:widowControl w:val="0"/>
        <w:jc w:val="both"/>
        <w:outlineLvl w:val="0"/>
        <w:rPr>
          <w:rFonts w:ascii="Arial" w:hAnsi="Arial" w:cs="Arial"/>
          <w:color w:val="000000" w:themeColor="text1"/>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color w:val="000000" w:themeColor="text1"/>
        </w:rPr>
      </w:pPr>
      <w:r w:rsidRPr="005F744A">
        <w:rPr>
          <w:rFonts w:ascii="Arial" w:hAnsi="Arial" w:cs="Arial"/>
          <w:b/>
          <w:color w:val="000000" w:themeColor="text1"/>
        </w:rPr>
        <w:t>DISPOSICIONES ESPECIFICAS</w:t>
      </w:r>
    </w:p>
    <w:p w:rsidR="005F744A" w:rsidRPr="005F744A" w:rsidRDefault="005F744A" w:rsidP="005F744A">
      <w:pPr>
        <w:pStyle w:val="Texto"/>
        <w:widowControl w:val="0"/>
        <w:ind w:left="851"/>
        <w:jc w:val="both"/>
        <w:outlineLvl w:val="0"/>
        <w:rPr>
          <w:rFonts w:ascii="Arial" w:hAnsi="Arial" w:cs="Arial"/>
          <w:b/>
          <w:color w:val="000000" w:themeColor="text1"/>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Servicio de Base Gráfica Registral en archivo digital.</w:t>
      </w:r>
    </w:p>
    <w:p w:rsidR="005F744A" w:rsidRPr="005F744A" w:rsidRDefault="005F744A" w:rsidP="005F744A">
      <w:pPr>
        <w:ind w:left="426"/>
        <w:jc w:val="both"/>
        <w:rPr>
          <w:rFonts w:ascii="Arial" w:hAnsi="Arial" w:cs="Arial"/>
          <w:color w:val="000000" w:themeColor="text1"/>
          <w:sz w:val="24"/>
          <w:szCs w:val="24"/>
          <w:shd w:val="clear" w:color="auto" w:fill="FEFEFE"/>
        </w:rPr>
      </w:pPr>
      <w:r w:rsidRPr="005F744A">
        <w:rPr>
          <w:rFonts w:ascii="Arial" w:hAnsi="Arial" w:cs="Arial"/>
          <w:color w:val="000000" w:themeColor="text1"/>
          <w:sz w:val="24"/>
          <w:szCs w:val="24"/>
        </w:rPr>
        <w:t>Es el servicio mediante el cual se entrega, en archivo digital, el polígono que corresponde a la partida registral de un predio</w:t>
      </w:r>
      <w:r w:rsidRPr="005F744A">
        <w:rPr>
          <w:rFonts w:ascii="Arial" w:hAnsi="Arial" w:cs="Arial"/>
          <w:color w:val="000000" w:themeColor="text1"/>
          <w:sz w:val="24"/>
          <w:szCs w:val="24"/>
          <w:shd w:val="clear" w:color="auto" w:fill="FEFEFE"/>
        </w:rPr>
        <w:t xml:space="preserve">, siempre que dicho polígono se encuentre incorporado en la Base Gráfica Registral de la </w:t>
      </w:r>
      <w:proofErr w:type="spellStart"/>
      <w:r w:rsidRPr="005F744A">
        <w:rPr>
          <w:rFonts w:ascii="Arial" w:hAnsi="Arial" w:cs="Arial"/>
          <w:color w:val="000000" w:themeColor="text1"/>
          <w:sz w:val="24"/>
          <w:szCs w:val="24"/>
          <w:shd w:val="clear" w:color="auto" w:fill="FEFEFE"/>
        </w:rPr>
        <w:t>Sunarp</w:t>
      </w:r>
      <w:proofErr w:type="spellEnd"/>
      <w:r w:rsidRPr="005F744A">
        <w:rPr>
          <w:rFonts w:ascii="Arial" w:hAnsi="Arial" w:cs="Arial"/>
          <w:color w:val="000000" w:themeColor="text1"/>
          <w:sz w:val="24"/>
          <w:szCs w:val="24"/>
          <w:shd w:val="clear" w:color="auto" w:fill="FEFEFE"/>
        </w:rPr>
        <w:t>.</w:t>
      </w:r>
    </w:p>
    <w:p w:rsidR="005F744A" w:rsidRPr="005F744A" w:rsidRDefault="005F744A" w:rsidP="005F744A">
      <w:pPr>
        <w:ind w:left="426" w:hanging="426"/>
        <w:jc w:val="both"/>
        <w:rPr>
          <w:rFonts w:ascii="Arial" w:hAnsi="Arial" w:cs="Arial"/>
          <w:color w:val="000000" w:themeColor="text1"/>
          <w:sz w:val="24"/>
          <w:szCs w:val="24"/>
          <w:shd w:val="clear" w:color="auto" w:fill="FEFEFE"/>
        </w:rPr>
      </w:pPr>
    </w:p>
    <w:p w:rsidR="005F744A" w:rsidRPr="005F744A" w:rsidRDefault="005F744A" w:rsidP="005F744A">
      <w:pPr>
        <w:ind w:left="426"/>
        <w:jc w:val="both"/>
        <w:rPr>
          <w:rFonts w:ascii="Arial" w:hAnsi="Arial" w:cs="Arial"/>
          <w:color w:val="000000" w:themeColor="text1"/>
          <w:sz w:val="24"/>
          <w:szCs w:val="24"/>
          <w:shd w:val="clear" w:color="auto" w:fill="FEFEFE"/>
        </w:rPr>
      </w:pPr>
      <w:r w:rsidRPr="005F744A">
        <w:rPr>
          <w:rFonts w:ascii="Arial" w:hAnsi="Arial" w:cs="Arial"/>
          <w:color w:val="000000" w:themeColor="text1"/>
          <w:sz w:val="24"/>
          <w:szCs w:val="24"/>
          <w:shd w:val="clear" w:color="auto" w:fill="FEFEFE"/>
        </w:rPr>
        <w:t xml:space="preserve">El servicio es entregado a través de la página web de la </w:t>
      </w:r>
      <w:proofErr w:type="spellStart"/>
      <w:r w:rsidRPr="005F744A">
        <w:rPr>
          <w:rFonts w:ascii="Arial" w:hAnsi="Arial" w:cs="Arial"/>
          <w:color w:val="000000" w:themeColor="text1"/>
          <w:sz w:val="24"/>
          <w:szCs w:val="24"/>
          <w:shd w:val="clear" w:color="auto" w:fill="FEFEFE"/>
        </w:rPr>
        <w:t>Sunarp</w:t>
      </w:r>
      <w:proofErr w:type="spellEnd"/>
      <w:r w:rsidRPr="005F744A">
        <w:rPr>
          <w:rFonts w:ascii="Arial" w:hAnsi="Arial" w:cs="Arial"/>
          <w:color w:val="000000" w:themeColor="text1"/>
          <w:sz w:val="24"/>
          <w:szCs w:val="24"/>
          <w:shd w:val="clear" w:color="auto" w:fill="FEFEFE"/>
        </w:rPr>
        <w:t xml:space="preserve"> y, de forma excepcional, en un CD/DVD, en ambos casos en formato </w:t>
      </w:r>
      <w:r w:rsidRPr="005F744A">
        <w:rPr>
          <w:rFonts w:ascii="Arial" w:hAnsi="Arial" w:cs="Arial"/>
          <w:color w:val="000000" w:themeColor="text1"/>
          <w:sz w:val="24"/>
          <w:szCs w:val="24"/>
        </w:rPr>
        <w:t>GIS (</w:t>
      </w:r>
      <w:proofErr w:type="spellStart"/>
      <w:r w:rsidRPr="005F744A">
        <w:rPr>
          <w:rFonts w:ascii="Arial" w:hAnsi="Arial" w:cs="Arial"/>
          <w:color w:val="000000" w:themeColor="text1"/>
          <w:sz w:val="24"/>
          <w:szCs w:val="24"/>
        </w:rPr>
        <w:t>shp</w:t>
      </w:r>
      <w:proofErr w:type="spellEnd"/>
      <w:r w:rsidRPr="005F744A">
        <w:rPr>
          <w:rFonts w:ascii="Arial" w:hAnsi="Arial" w:cs="Arial"/>
          <w:color w:val="000000" w:themeColor="text1"/>
          <w:sz w:val="24"/>
          <w:szCs w:val="24"/>
        </w:rPr>
        <w:t>)</w:t>
      </w:r>
      <w:r w:rsidRPr="005F744A">
        <w:rPr>
          <w:rFonts w:ascii="Arial" w:hAnsi="Arial" w:cs="Arial"/>
          <w:color w:val="000000" w:themeColor="text1"/>
          <w:sz w:val="24"/>
          <w:szCs w:val="24"/>
          <w:shd w:val="clear" w:color="auto" w:fill="FEFEFE"/>
        </w:rPr>
        <w:t>.</w:t>
      </w:r>
    </w:p>
    <w:p w:rsidR="005F744A" w:rsidRPr="005F744A" w:rsidRDefault="005F744A" w:rsidP="005F744A">
      <w:pPr>
        <w:ind w:left="426" w:hanging="426"/>
        <w:jc w:val="both"/>
        <w:rPr>
          <w:rFonts w:ascii="Arial" w:hAnsi="Arial" w:cs="Arial"/>
          <w:b/>
          <w:color w:val="000000" w:themeColor="text1"/>
          <w:sz w:val="24"/>
          <w:szCs w:val="24"/>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Requisitos para brindar el Servicio.</w:t>
      </w:r>
    </w:p>
    <w:p w:rsidR="005F744A" w:rsidRPr="005F744A" w:rsidRDefault="005F744A" w:rsidP="005F744A">
      <w:pPr>
        <w:pStyle w:val="Texto"/>
        <w:widowControl w:val="0"/>
        <w:ind w:left="426" w:hanging="426"/>
        <w:jc w:val="both"/>
        <w:outlineLvl w:val="0"/>
        <w:rPr>
          <w:rFonts w:ascii="Arial" w:hAnsi="Arial" w:cs="Arial"/>
          <w:b/>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b/>
          <w:color w:val="000000" w:themeColor="text1"/>
        </w:rPr>
      </w:pPr>
      <w:r w:rsidRPr="005F744A">
        <w:rPr>
          <w:rFonts w:ascii="Arial" w:hAnsi="Arial" w:cs="Arial"/>
          <w:b/>
          <w:color w:val="000000" w:themeColor="text1"/>
        </w:rPr>
        <w:t>Procedimiento no presencial.</w:t>
      </w:r>
    </w:p>
    <w:p w:rsidR="005F744A" w:rsidRPr="005F744A" w:rsidRDefault="005F744A" w:rsidP="005F744A">
      <w:pPr>
        <w:pStyle w:val="Texto"/>
        <w:widowControl w:val="0"/>
        <w:tabs>
          <w:tab w:val="left" w:pos="1276"/>
        </w:tabs>
        <w:ind w:left="1134"/>
        <w:jc w:val="both"/>
        <w:outlineLvl w:val="0"/>
        <w:rPr>
          <w:rFonts w:ascii="Arial" w:hAnsi="Arial" w:cs="Arial"/>
          <w:color w:val="000000" w:themeColor="text1"/>
        </w:rPr>
      </w:pPr>
      <w:r w:rsidRPr="005F744A">
        <w:rPr>
          <w:rFonts w:ascii="Arial" w:hAnsi="Arial" w:cs="Arial"/>
          <w:color w:val="000000" w:themeColor="text1"/>
        </w:rPr>
        <w:t xml:space="preserve">El solicitante genera el servicio sin la necesidad de acudir físicamente a una oficina registral. Para ello es necesario que el solicitante se </w:t>
      </w:r>
      <w:r w:rsidRPr="005F744A">
        <w:rPr>
          <w:rFonts w:ascii="Arial" w:hAnsi="Arial" w:cs="Arial"/>
          <w:color w:val="000000" w:themeColor="text1"/>
        </w:rPr>
        <w:lastRenderedPageBreak/>
        <w:t>suscriba al Servicio de Publicidad Registral en Línea - SPRL, desde la cual genera la solicitud y abona, previa liquidación por el área de catastro, los derechos registrales correspondientes.</w:t>
      </w:r>
    </w:p>
    <w:p w:rsidR="005F744A" w:rsidRPr="005F744A" w:rsidRDefault="005F744A" w:rsidP="005F744A">
      <w:pPr>
        <w:pStyle w:val="Texto"/>
        <w:widowControl w:val="0"/>
        <w:tabs>
          <w:tab w:val="left" w:pos="1134"/>
        </w:tabs>
        <w:ind w:left="1134"/>
        <w:jc w:val="both"/>
        <w:outlineLvl w:val="0"/>
        <w:rPr>
          <w:rFonts w:ascii="Arial" w:hAnsi="Arial" w:cs="Arial"/>
          <w:b/>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b/>
          <w:color w:val="000000" w:themeColor="text1"/>
        </w:rPr>
      </w:pPr>
      <w:r w:rsidRPr="005F744A">
        <w:rPr>
          <w:rFonts w:ascii="Arial" w:hAnsi="Arial" w:cs="Arial"/>
          <w:b/>
          <w:color w:val="000000" w:themeColor="text1"/>
        </w:rPr>
        <w:t>Procedimiento presencial</w:t>
      </w:r>
    </w:p>
    <w:p w:rsidR="005F744A" w:rsidRPr="005F744A" w:rsidRDefault="005F744A" w:rsidP="005F744A">
      <w:pPr>
        <w:pStyle w:val="Texto"/>
        <w:widowControl w:val="0"/>
        <w:tabs>
          <w:tab w:val="left" w:pos="1276"/>
        </w:tabs>
        <w:ind w:left="1276" w:hanging="142"/>
        <w:jc w:val="both"/>
        <w:outlineLvl w:val="0"/>
        <w:rPr>
          <w:rFonts w:ascii="Arial" w:hAnsi="Arial" w:cs="Arial"/>
          <w:b/>
          <w:color w:val="000000" w:themeColor="text1"/>
        </w:rPr>
      </w:pPr>
      <w:r w:rsidRPr="005F744A">
        <w:rPr>
          <w:rFonts w:ascii="Arial" w:hAnsi="Arial" w:cs="Arial"/>
          <w:color w:val="000000" w:themeColor="text1"/>
        </w:rPr>
        <w:t>El solicitante debe indicar lo siguiente:</w:t>
      </w:r>
    </w:p>
    <w:p w:rsidR="005F744A" w:rsidRPr="005F744A" w:rsidRDefault="005F744A" w:rsidP="005F744A">
      <w:pPr>
        <w:ind w:left="1276" w:hanging="142"/>
        <w:rPr>
          <w:rFonts w:ascii="Arial" w:hAnsi="Arial" w:cs="Arial"/>
          <w:color w:val="000000" w:themeColor="text1"/>
          <w:sz w:val="24"/>
          <w:szCs w:val="24"/>
        </w:rPr>
      </w:pPr>
    </w:p>
    <w:p w:rsidR="005F744A" w:rsidRPr="005F744A" w:rsidRDefault="005F744A" w:rsidP="005F744A">
      <w:pPr>
        <w:pStyle w:val="Prrafodelista"/>
        <w:numPr>
          <w:ilvl w:val="0"/>
          <w:numId w:val="13"/>
        </w:numPr>
        <w:ind w:left="1276" w:hanging="142"/>
        <w:jc w:val="both"/>
        <w:rPr>
          <w:rFonts w:ascii="Arial" w:hAnsi="Arial" w:cs="Arial"/>
          <w:color w:val="000000" w:themeColor="text1"/>
          <w:sz w:val="24"/>
          <w:szCs w:val="24"/>
        </w:rPr>
      </w:pPr>
      <w:r w:rsidRPr="005F744A">
        <w:rPr>
          <w:rFonts w:ascii="Arial" w:hAnsi="Arial" w:cs="Arial"/>
          <w:color w:val="000000" w:themeColor="text1"/>
          <w:sz w:val="24"/>
          <w:szCs w:val="24"/>
        </w:rPr>
        <w:t>Nombres, apellidos y DNI del solicitante.</w:t>
      </w:r>
    </w:p>
    <w:p w:rsidR="005F744A" w:rsidRPr="005F744A" w:rsidRDefault="005F744A" w:rsidP="005F744A">
      <w:pPr>
        <w:pStyle w:val="Prrafodelista"/>
        <w:numPr>
          <w:ilvl w:val="0"/>
          <w:numId w:val="13"/>
        </w:numPr>
        <w:ind w:left="1418" w:hanging="284"/>
        <w:jc w:val="both"/>
        <w:rPr>
          <w:rFonts w:ascii="Arial" w:hAnsi="Arial" w:cs="Arial"/>
          <w:color w:val="000000" w:themeColor="text1"/>
          <w:sz w:val="24"/>
          <w:szCs w:val="24"/>
        </w:rPr>
      </w:pPr>
      <w:r w:rsidRPr="005F744A">
        <w:rPr>
          <w:rFonts w:ascii="Arial" w:hAnsi="Arial" w:cs="Arial"/>
          <w:color w:val="000000" w:themeColor="text1"/>
          <w:sz w:val="24"/>
          <w:szCs w:val="24"/>
        </w:rPr>
        <w:t>El número de partida y oficina registral al que corresponde el polígono solicitado.</w:t>
      </w:r>
    </w:p>
    <w:p w:rsidR="005F744A" w:rsidRPr="005F744A" w:rsidRDefault="005F744A" w:rsidP="005F744A">
      <w:pPr>
        <w:pStyle w:val="Prrafodelista"/>
        <w:numPr>
          <w:ilvl w:val="0"/>
          <w:numId w:val="13"/>
        </w:numPr>
        <w:ind w:left="1418" w:hanging="284"/>
        <w:jc w:val="both"/>
        <w:rPr>
          <w:rFonts w:ascii="Arial" w:hAnsi="Arial" w:cs="Arial"/>
          <w:color w:val="000000" w:themeColor="text1"/>
          <w:sz w:val="24"/>
          <w:szCs w:val="24"/>
        </w:rPr>
      </w:pPr>
      <w:r w:rsidRPr="005F744A">
        <w:rPr>
          <w:rFonts w:ascii="Arial" w:hAnsi="Arial" w:cs="Arial"/>
          <w:color w:val="000000" w:themeColor="text1"/>
          <w:sz w:val="24"/>
          <w:szCs w:val="24"/>
        </w:rPr>
        <w:t>El distrito, provincia y departamento que corresponde al polígono solicitado.</w:t>
      </w:r>
    </w:p>
    <w:p w:rsidR="005F744A" w:rsidRPr="005F744A" w:rsidRDefault="005F744A" w:rsidP="005F744A">
      <w:pPr>
        <w:pStyle w:val="Prrafodelista"/>
        <w:numPr>
          <w:ilvl w:val="0"/>
          <w:numId w:val="13"/>
        </w:numPr>
        <w:ind w:left="1276" w:hanging="142"/>
        <w:jc w:val="both"/>
        <w:rPr>
          <w:rFonts w:ascii="Arial" w:hAnsi="Arial" w:cs="Arial"/>
          <w:color w:val="000000" w:themeColor="text1"/>
          <w:sz w:val="24"/>
          <w:szCs w:val="24"/>
        </w:rPr>
      </w:pPr>
      <w:r w:rsidRPr="005F744A">
        <w:rPr>
          <w:rFonts w:ascii="Arial" w:hAnsi="Arial" w:cs="Arial"/>
          <w:color w:val="000000" w:themeColor="text1"/>
          <w:sz w:val="24"/>
          <w:szCs w:val="24"/>
        </w:rPr>
        <w:t>Correo electrónico o número de teléfono móvil.</w:t>
      </w:r>
    </w:p>
    <w:p w:rsidR="005F744A" w:rsidRPr="005F744A" w:rsidRDefault="005F744A" w:rsidP="005F744A">
      <w:pPr>
        <w:jc w:val="both"/>
        <w:rPr>
          <w:rFonts w:ascii="Arial" w:hAnsi="Arial" w:cs="Arial"/>
          <w:color w:val="000000"/>
          <w:sz w:val="24"/>
          <w:szCs w:val="24"/>
        </w:rPr>
      </w:pPr>
    </w:p>
    <w:p w:rsidR="005F744A" w:rsidRDefault="005F744A" w:rsidP="005F744A">
      <w:pPr>
        <w:pStyle w:val="Prrafodelista"/>
        <w:ind w:left="1134"/>
        <w:jc w:val="both"/>
        <w:rPr>
          <w:rFonts w:ascii="Arial" w:hAnsi="Arial" w:cs="Arial"/>
          <w:color w:val="000000" w:themeColor="text1"/>
          <w:sz w:val="24"/>
          <w:szCs w:val="24"/>
        </w:rPr>
      </w:pPr>
      <w:r w:rsidRPr="005F744A">
        <w:rPr>
          <w:rFonts w:ascii="Arial" w:hAnsi="Arial" w:cs="Arial"/>
          <w:color w:val="000000" w:themeColor="text1"/>
          <w:sz w:val="24"/>
          <w:szCs w:val="24"/>
        </w:rPr>
        <w:t>Adicionalmente, de manera excepcional, en caso el solicitante requiera obtener el servicio en un CD/DVD, deberá precisar aquello en la solicitud.</w:t>
      </w:r>
    </w:p>
    <w:p w:rsidR="005F744A" w:rsidRDefault="005F744A" w:rsidP="005F744A">
      <w:pPr>
        <w:pStyle w:val="Prrafodelista"/>
        <w:ind w:left="1134"/>
        <w:jc w:val="both"/>
        <w:rPr>
          <w:rFonts w:ascii="Arial" w:hAnsi="Arial" w:cs="Arial"/>
          <w:color w:val="000000" w:themeColor="text1"/>
          <w:sz w:val="24"/>
          <w:szCs w:val="24"/>
        </w:rPr>
      </w:pPr>
    </w:p>
    <w:p w:rsidR="005F744A" w:rsidRPr="005F744A" w:rsidRDefault="005F744A" w:rsidP="005F744A">
      <w:pPr>
        <w:pStyle w:val="Prrafodelista"/>
        <w:ind w:left="426"/>
        <w:jc w:val="both"/>
        <w:rPr>
          <w:rFonts w:ascii="Arial" w:hAnsi="Arial" w:cs="Arial"/>
          <w:color w:val="000000"/>
          <w:sz w:val="24"/>
          <w:szCs w:val="24"/>
        </w:rPr>
      </w:pPr>
      <w:r w:rsidRPr="005F744A">
        <w:rPr>
          <w:rFonts w:ascii="Arial" w:hAnsi="Arial" w:cs="Arial"/>
          <w:color w:val="000000"/>
          <w:sz w:val="24"/>
          <w:szCs w:val="24"/>
        </w:rPr>
        <w:t>En caso se requiera obtener la Base Gráfica Registral en archivo digital de un acto que afecte parcialmente al predio inscrito, se debe también indicar el asiento registral en el que consta inscrita la afectación. Solo es posible solicitar el servicio Base Gráfica Registral en archivo digital de afectaciones que para su inscripción requirieron de información técnica (planos) e informe técnico del área de catastro.</w:t>
      </w:r>
    </w:p>
    <w:p w:rsidR="005F744A" w:rsidRPr="005F744A" w:rsidRDefault="005F744A" w:rsidP="005F744A">
      <w:pPr>
        <w:pStyle w:val="Texto"/>
        <w:widowControl w:val="0"/>
        <w:tabs>
          <w:tab w:val="left" w:pos="1276"/>
        </w:tabs>
        <w:ind w:left="1134"/>
        <w:jc w:val="both"/>
        <w:outlineLvl w:val="0"/>
        <w:rPr>
          <w:rFonts w:ascii="Arial" w:hAnsi="Arial" w:cs="Arial"/>
          <w:color w:val="000000" w:themeColor="text1"/>
          <w:lang w:val="es-ES"/>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Procedimiento para brindar el servicio.</w:t>
      </w:r>
    </w:p>
    <w:p w:rsidR="005F744A" w:rsidRPr="005F744A" w:rsidRDefault="005F744A" w:rsidP="005F744A">
      <w:pPr>
        <w:pStyle w:val="Texto"/>
        <w:widowControl w:val="0"/>
        <w:jc w:val="both"/>
        <w:outlineLvl w:val="0"/>
        <w:rPr>
          <w:rFonts w:ascii="Arial" w:hAnsi="Arial" w:cs="Arial"/>
          <w:b/>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color w:val="000000" w:themeColor="text1"/>
        </w:rPr>
      </w:pPr>
      <w:r w:rsidRPr="005F744A">
        <w:rPr>
          <w:rFonts w:ascii="Arial" w:hAnsi="Arial" w:cs="Arial"/>
          <w:color w:val="000000" w:themeColor="text1"/>
        </w:rPr>
        <w:t>El procedimiento inicia a través del Servicio de Publicidad Registral en Línea o con la solicitud verbal formulada por el solicitante ante el cajero de la oficina registral, precisando los requisitos previstos en el artículo 7.2.2. que antecede.</w:t>
      </w:r>
    </w:p>
    <w:p w:rsidR="005F744A" w:rsidRPr="005F744A" w:rsidRDefault="005F744A" w:rsidP="005F744A">
      <w:pPr>
        <w:pStyle w:val="Texto"/>
        <w:widowControl w:val="0"/>
        <w:ind w:left="1418"/>
        <w:jc w:val="both"/>
        <w:outlineLvl w:val="0"/>
        <w:rPr>
          <w:rFonts w:ascii="Arial" w:hAnsi="Arial" w:cs="Arial"/>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color w:val="000000" w:themeColor="text1"/>
        </w:rPr>
      </w:pPr>
      <w:r w:rsidRPr="005F744A">
        <w:rPr>
          <w:rFonts w:ascii="Arial" w:hAnsi="Arial" w:cs="Arial"/>
          <w:color w:val="000000" w:themeColor="text1"/>
        </w:rPr>
        <w:t>El sistema del Servicio de Publicidad Registral en Línea o el cajero, según corresponda, genera el número de solicitud de publicidad sin requerir pago previo al solicitante.</w:t>
      </w:r>
    </w:p>
    <w:p w:rsidR="005F744A" w:rsidRPr="005F744A" w:rsidRDefault="005F744A" w:rsidP="005F744A">
      <w:pPr>
        <w:pStyle w:val="Texto"/>
        <w:widowControl w:val="0"/>
        <w:tabs>
          <w:tab w:val="left" w:pos="1134"/>
        </w:tabs>
        <w:ind w:left="1134"/>
        <w:jc w:val="both"/>
        <w:outlineLvl w:val="0"/>
        <w:rPr>
          <w:rFonts w:ascii="Arial" w:hAnsi="Arial" w:cs="Arial"/>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color w:val="000000" w:themeColor="text1"/>
        </w:rPr>
      </w:pPr>
      <w:r w:rsidRPr="005F744A">
        <w:rPr>
          <w:rFonts w:ascii="Arial" w:hAnsi="Arial" w:cs="Arial"/>
          <w:color w:val="000000" w:themeColor="text1"/>
        </w:rPr>
        <w:t>La solicitud generada es asignada al personal del área de catastro de la Oficina Registral que corresponda, quién ingresa a la BGR, identifica el polígono solicitado conforme a la información señalada en la solicitud presentada y verifica su concordancia con sus antecedentes registrales.</w:t>
      </w:r>
    </w:p>
    <w:p w:rsidR="005F744A" w:rsidRPr="005F744A" w:rsidRDefault="005F744A" w:rsidP="005F744A">
      <w:pPr>
        <w:pStyle w:val="Texto"/>
        <w:widowControl w:val="0"/>
        <w:tabs>
          <w:tab w:val="left" w:pos="1134"/>
        </w:tabs>
        <w:ind w:left="1134"/>
        <w:jc w:val="both"/>
        <w:outlineLvl w:val="0"/>
        <w:rPr>
          <w:rFonts w:ascii="Arial" w:hAnsi="Arial" w:cs="Arial"/>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color w:val="000000" w:themeColor="text1"/>
        </w:rPr>
      </w:pPr>
      <w:r w:rsidRPr="005F744A">
        <w:rPr>
          <w:rFonts w:ascii="Arial" w:hAnsi="Arial" w:cs="Arial"/>
          <w:color w:val="000000" w:themeColor="text1"/>
        </w:rPr>
        <w:t>El personal de catastro selecciona el polígono verificado, lo extrae y procede a asociarlo con el número de la publicidad generada en el SPRL.</w:t>
      </w:r>
    </w:p>
    <w:p w:rsidR="005F744A" w:rsidRPr="005F744A" w:rsidRDefault="005F744A" w:rsidP="005F744A">
      <w:pPr>
        <w:pStyle w:val="Texto"/>
        <w:widowControl w:val="0"/>
        <w:tabs>
          <w:tab w:val="left" w:pos="1134"/>
        </w:tabs>
        <w:jc w:val="both"/>
        <w:outlineLvl w:val="0"/>
        <w:rPr>
          <w:rFonts w:ascii="Arial" w:hAnsi="Arial" w:cs="Arial"/>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color w:val="000000" w:themeColor="text1"/>
        </w:rPr>
      </w:pPr>
      <w:r w:rsidRPr="005F744A">
        <w:rPr>
          <w:rFonts w:ascii="Arial" w:hAnsi="Arial" w:cs="Arial"/>
          <w:color w:val="000000" w:themeColor="text1"/>
        </w:rPr>
        <w:t xml:space="preserve">El SPRL reconoce el polígono asociado a la solicitud y luego de consignar los datos de autenticación en esta plataforma (clave del SPRL), procede a enviar la liquidación al área de caja y al correo electrónico del solicitante, o de ser el caso, a la cuenta del SPRL </w:t>
      </w:r>
      <w:r w:rsidRPr="005F744A">
        <w:rPr>
          <w:rFonts w:ascii="Arial" w:hAnsi="Arial" w:cs="Arial"/>
          <w:color w:val="000000" w:themeColor="text1"/>
        </w:rPr>
        <w:lastRenderedPageBreak/>
        <w:t xml:space="preserve">desde donde se generó el servicio, pudiendo ser también verificada desde la página web de la </w:t>
      </w:r>
      <w:proofErr w:type="spellStart"/>
      <w:r w:rsidRPr="005F744A">
        <w:rPr>
          <w:rFonts w:ascii="Arial" w:hAnsi="Arial" w:cs="Arial"/>
          <w:color w:val="000000" w:themeColor="text1"/>
        </w:rPr>
        <w:t>Sunarp</w:t>
      </w:r>
      <w:proofErr w:type="spellEnd"/>
      <w:r w:rsidRPr="005F744A">
        <w:rPr>
          <w:rFonts w:ascii="Arial" w:hAnsi="Arial" w:cs="Arial"/>
          <w:color w:val="000000" w:themeColor="text1"/>
        </w:rPr>
        <w:t xml:space="preserve">. El solicitante tiene un máximo cinco (05) días hábiles, contados desde el día siguiente de la liquidación, para efectuar el pago por el servicio de Base Gráfica Registral en archivo digital, de forma presencial en la oficina registral en la que presentó la solicitud o a través del SPRL, según corresponda. </w:t>
      </w:r>
    </w:p>
    <w:p w:rsidR="005F744A" w:rsidRPr="005F744A" w:rsidRDefault="005F744A" w:rsidP="005F744A">
      <w:pPr>
        <w:pStyle w:val="Texto"/>
        <w:widowControl w:val="0"/>
        <w:tabs>
          <w:tab w:val="left" w:pos="1134"/>
        </w:tabs>
        <w:ind w:left="1134"/>
        <w:jc w:val="both"/>
        <w:outlineLvl w:val="0"/>
        <w:rPr>
          <w:rFonts w:ascii="Arial" w:hAnsi="Arial" w:cs="Arial"/>
          <w:color w:val="000000" w:themeColor="text1"/>
        </w:rPr>
      </w:pPr>
    </w:p>
    <w:p w:rsidR="005F744A" w:rsidRPr="005F744A" w:rsidRDefault="005F744A" w:rsidP="005F744A">
      <w:pPr>
        <w:pStyle w:val="Texto"/>
        <w:widowControl w:val="0"/>
        <w:numPr>
          <w:ilvl w:val="2"/>
          <w:numId w:val="1"/>
        </w:numPr>
        <w:tabs>
          <w:tab w:val="clear" w:pos="1571"/>
          <w:tab w:val="left" w:pos="1134"/>
          <w:tab w:val="num" w:pos="1430"/>
        </w:tabs>
        <w:ind w:left="1134" w:hanging="708"/>
        <w:jc w:val="both"/>
        <w:outlineLvl w:val="0"/>
        <w:rPr>
          <w:rFonts w:ascii="Arial" w:hAnsi="Arial" w:cs="Arial"/>
          <w:color w:val="000000" w:themeColor="text1"/>
        </w:rPr>
      </w:pPr>
      <w:r w:rsidRPr="005F744A">
        <w:rPr>
          <w:rFonts w:ascii="Arial" w:hAnsi="Arial" w:cs="Arial"/>
          <w:color w:val="000000" w:themeColor="text1"/>
        </w:rPr>
        <w:t xml:space="preserve">Una vez efectuado el pago, el sistema informático activa la opción para visualizar y descargar el servicio requerido, previa consignación del número de la solicitud y un código de verificación que se mostrará en el recibo de pago o en el reporte de transacción del SPRL, según corresponda. </w:t>
      </w:r>
    </w:p>
    <w:p w:rsidR="005F744A" w:rsidRPr="005F744A" w:rsidRDefault="005F744A" w:rsidP="005F744A">
      <w:pPr>
        <w:rPr>
          <w:rFonts w:ascii="Arial" w:hAnsi="Arial" w:cs="Arial"/>
          <w:color w:val="000000" w:themeColor="text1"/>
          <w:sz w:val="24"/>
          <w:szCs w:val="24"/>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Entrega del servicio.</w:t>
      </w:r>
    </w:p>
    <w:p w:rsidR="005F744A" w:rsidRPr="005F744A" w:rsidRDefault="005F744A" w:rsidP="005F744A">
      <w:pPr>
        <w:jc w:val="both"/>
        <w:rPr>
          <w:rFonts w:ascii="Arial" w:hAnsi="Arial" w:cs="Arial"/>
          <w:color w:val="000000" w:themeColor="text1"/>
          <w:sz w:val="24"/>
          <w:szCs w:val="24"/>
        </w:rPr>
      </w:pPr>
    </w:p>
    <w:p w:rsidR="005F744A" w:rsidRPr="005F744A" w:rsidRDefault="005F744A" w:rsidP="005F744A">
      <w:pPr>
        <w:ind w:left="426"/>
        <w:jc w:val="both"/>
        <w:rPr>
          <w:rFonts w:ascii="Arial" w:hAnsi="Arial" w:cs="Arial"/>
          <w:color w:val="000000" w:themeColor="text1"/>
          <w:sz w:val="24"/>
          <w:szCs w:val="24"/>
          <w:shd w:val="clear" w:color="auto" w:fill="FEFEFE"/>
        </w:rPr>
      </w:pPr>
      <w:r w:rsidRPr="005F744A">
        <w:rPr>
          <w:rFonts w:ascii="Arial" w:hAnsi="Arial" w:cs="Arial"/>
          <w:color w:val="000000" w:themeColor="text1"/>
          <w:sz w:val="24"/>
          <w:szCs w:val="24"/>
          <w:shd w:val="clear" w:color="auto" w:fill="FEFEFE"/>
        </w:rPr>
        <w:t xml:space="preserve">El servicio es expedido por el personal de catastro para ser entregado en formato digital a través de la página web de la </w:t>
      </w:r>
      <w:proofErr w:type="spellStart"/>
      <w:r w:rsidRPr="005F744A">
        <w:rPr>
          <w:rFonts w:ascii="Arial" w:hAnsi="Arial" w:cs="Arial"/>
          <w:color w:val="000000" w:themeColor="text1"/>
          <w:sz w:val="24"/>
          <w:szCs w:val="24"/>
          <w:shd w:val="clear" w:color="auto" w:fill="FEFEFE"/>
        </w:rPr>
        <w:t>Sunarp</w:t>
      </w:r>
      <w:proofErr w:type="spellEnd"/>
      <w:r w:rsidRPr="005F744A">
        <w:rPr>
          <w:rFonts w:ascii="Arial" w:hAnsi="Arial" w:cs="Arial"/>
          <w:color w:val="000000" w:themeColor="text1"/>
          <w:sz w:val="24"/>
          <w:szCs w:val="24"/>
          <w:shd w:val="clear" w:color="auto" w:fill="FEFEFE"/>
        </w:rPr>
        <w:t>, pudiendo ser descargado por el solicitante, previa indicación del número de solicitud y código de verificación respectivo. En caso corresponda, es también enviado a la cuenta del usuario suscrito al Servicio de Publicidad Registral en Línea - SPRL.</w:t>
      </w:r>
    </w:p>
    <w:p w:rsidR="005F744A" w:rsidRPr="005F744A" w:rsidRDefault="005F744A" w:rsidP="005F744A">
      <w:pPr>
        <w:jc w:val="both"/>
        <w:rPr>
          <w:rFonts w:ascii="Arial" w:hAnsi="Arial" w:cs="Arial"/>
          <w:color w:val="000000" w:themeColor="text1"/>
          <w:sz w:val="24"/>
          <w:szCs w:val="24"/>
          <w:shd w:val="clear" w:color="auto" w:fill="FEFEFE"/>
        </w:rPr>
      </w:pPr>
    </w:p>
    <w:p w:rsidR="005F744A" w:rsidRPr="005F744A" w:rsidRDefault="005F744A" w:rsidP="005F744A">
      <w:pPr>
        <w:ind w:left="426"/>
        <w:jc w:val="both"/>
        <w:rPr>
          <w:rFonts w:ascii="Arial" w:hAnsi="Arial" w:cs="Arial"/>
          <w:color w:val="000000" w:themeColor="text1"/>
          <w:sz w:val="24"/>
          <w:szCs w:val="24"/>
        </w:rPr>
      </w:pPr>
      <w:r w:rsidRPr="005F744A">
        <w:rPr>
          <w:rFonts w:ascii="Arial" w:hAnsi="Arial" w:cs="Arial"/>
          <w:color w:val="000000" w:themeColor="text1"/>
          <w:sz w:val="24"/>
          <w:szCs w:val="24"/>
        </w:rPr>
        <w:t>En caso se haya optado por la entrega en CD/DVD, sin perjuicio de lo descrito en el párrafo que antecede, el solicitante debe acercarse a la oficina de mesa de partes de la oficina registral en la que presentó la solicitud, al día siguiente de efectuado el pago, a recabar el CD/DVD con la información solicitada.</w:t>
      </w:r>
    </w:p>
    <w:p w:rsidR="005F744A" w:rsidRPr="005F744A" w:rsidRDefault="005F744A" w:rsidP="005F744A">
      <w:pPr>
        <w:pStyle w:val="Texto"/>
        <w:widowControl w:val="0"/>
        <w:ind w:left="1418"/>
        <w:jc w:val="both"/>
        <w:outlineLvl w:val="0"/>
        <w:rPr>
          <w:rFonts w:ascii="Arial" w:hAnsi="Arial" w:cs="Arial"/>
          <w:color w:val="000000" w:themeColor="text1"/>
          <w:lang w:eastAsia="en-US"/>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Abandono del procedimiento</w:t>
      </w:r>
    </w:p>
    <w:p w:rsidR="005F744A" w:rsidRPr="005F744A" w:rsidRDefault="005F744A" w:rsidP="005F744A">
      <w:pPr>
        <w:pStyle w:val="Texto"/>
        <w:widowControl w:val="0"/>
        <w:ind w:left="426"/>
        <w:jc w:val="both"/>
        <w:outlineLvl w:val="0"/>
        <w:rPr>
          <w:rFonts w:ascii="Arial" w:hAnsi="Arial" w:cs="Arial"/>
          <w:b/>
          <w:color w:val="000000" w:themeColor="text1"/>
        </w:rPr>
      </w:pPr>
    </w:p>
    <w:p w:rsidR="005F744A" w:rsidRPr="005F744A" w:rsidRDefault="005F744A" w:rsidP="005F744A">
      <w:pPr>
        <w:pStyle w:val="Texto"/>
        <w:widowControl w:val="0"/>
        <w:ind w:left="426"/>
        <w:jc w:val="both"/>
        <w:outlineLvl w:val="0"/>
        <w:rPr>
          <w:rFonts w:ascii="Arial" w:hAnsi="Arial" w:cs="Arial"/>
          <w:color w:val="000000" w:themeColor="text1"/>
        </w:rPr>
      </w:pPr>
      <w:r w:rsidRPr="005F744A">
        <w:rPr>
          <w:rFonts w:ascii="Arial" w:hAnsi="Arial" w:cs="Arial"/>
          <w:color w:val="000000" w:themeColor="text1"/>
        </w:rPr>
        <w:t>En caso el solicitante no cancele la tasa registral por el servicio solicitado dentro de los cinco (05) días hábiles siguientes al de la liquidación, el servicio caerá en abandono, ante lo cual, el servidor del área de catastro expide la esquela correspondiente generando la culminación del procedimiento.</w:t>
      </w:r>
    </w:p>
    <w:p w:rsidR="005F744A" w:rsidRPr="005F744A" w:rsidRDefault="005F744A" w:rsidP="005F744A">
      <w:pPr>
        <w:pStyle w:val="Texto"/>
        <w:widowControl w:val="0"/>
        <w:jc w:val="both"/>
        <w:outlineLvl w:val="0"/>
        <w:rPr>
          <w:rFonts w:ascii="Arial" w:hAnsi="Arial" w:cs="Arial"/>
          <w:color w:val="000000" w:themeColor="text1"/>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Imposibilidad de brindar el servicio</w:t>
      </w:r>
    </w:p>
    <w:p w:rsidR="005F744A" w:rsidRPr="005F744A" w:rsidRDefault="005F744A" w:rsidP="005F744A">
      <w:pPr>
        <w:pStyle w:val="Texto"/>
        <w:widowControl w:val="0"/>
        <w:ind w:left="851"/>
        <w:jc w:val="both"/>
        <w:outlineLvl w:val="0"/>
        <w:rPr>
          <w:rFonts w:ascii="Arial" w:hAnsi="Arial" w:cs="Arial"/>
          <w:b/>
          <w:color w:val="000000" w:themeColor="text1"/>
        </w:rPr>
      </w:pPr>
    </w:p>
    <w:p w:rsidR="005F744A" w:rsidRPr="005F744A" w:rsidRDefault="005F744A" w:rsidP="005F744A">
      <w:pPr>
        <w:pStyle w:val="Texto"/>
        <w:widowControl w:val="0"/>
        <w:ind w:left="426"/>
        <w:jc w:val="both"/>
        <w:outlineLvl w:val="0"/>
        <w:rPr>
          <w:rFonts w:ascii="Arial" w:hAnsi="Arial" w:cs="Arial"/>
          <w:color w:val="000000" w:themeColor="text1"/>
        </w:rPr>
      </w:pPr>
      <w:r w:rsidRPr="005F744A">
        <w:rPr>
          <w:rFonts w:ascii="Arial" w:hAnsi="Arial" w:cs="Arial"/>
          <w:color w:val="000000" w:themeColor="text1"/>
        </w:rPr>
        <w:t>La imposibilidad de brindar el servicio de Base Gráfica Registral en archivo registral sucede cuando no se encuentre graficada la partida o asiento en consulta, o cuando el solicitante haya indicado información errónea del polígono solicitado. El servidor del área de catastro expide la esquela denegando el servicio.</w:t>
      </w:r>
    </w:p>
    <w:p w:rsidR="005F744A" w:rsidRPr="005F744A" w:rsidRDefault="005F744A" w:rsidP="005F744A">
      <w:pPr>
        <w:pStyle w:val="Texto"/>
        <w:widowControl w:val="0"/>
        <w:ind w:left="851"/>
        <w:jc w:val="both"/>
        <w:outlineLvl w:val="0"/>
        <w:rPr>
          <w:rFonts w:ascii="Arial" w:hAnsi="Arial" w:cs="Arial"/>
          <w:color w:val="000000" w:themeColor="text1"/>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Plazo para otorgar el servicio.</w:t>
      </w:r>
    </w:p>
    <w:p w:rsidR="005F744A" w:rsidRPr="005F744A" w:rsidRDefault="005F744A" w:rsidP="005F744A">
      <w:pPr>
        <w:pStyle w:val="Texto"/>
        <w:widowControl w:val="0"/>
        <w:ind w:left="851"/>
        <w:jc w:val="both"/>
        <w:outlineLvl w:val="0"/>
        <w:rPr>
          <w:rFonts w:ascii="Arial" w:hAnsi="Arial" w:cs="Arial"/>
          <w:b/>
          <w:color w:val="000000" w:themeColor="text1"/>
        </w:rPr>
      </w:pPr>
    </w:p>
    <w:p w:rsidR="005F744A" w:rsidRPr="005F744A" w:rsidRDefault="005F744A" w:rsidP="005F744A">
      <w:pPr>
        <w:ind w:left="426"/>
        <w:jc w:val="both"/>
        <w:rPr>
          <w:rFonts w:ascii="Arial" w:hAnsi="Arial" w:cs="Arial"/>
          <w:color w:val="000000" w:themeColor="text1"/>
          <w:sz w:val="24"/>
          <w:szCs w:val="24"/>
        </w:rPr>
      </w:pPr>
      <w:r w:rsidRPr="005F744A">
        <w:rPr>
          <w:rFonts w:ascii="Arial" w:hAnsi="Arial" w:cs="Arial"/>
          <w:color w:val="000000" w:themeColor="text1"/>
          <w:sz w:val="24"/>
          <w:szCs w:val="24"/>
        </w:rPr>
        <w:t>El área de catastro atenderá el servicio en un plazo máximo de dos (02) días hábiles contados desde el día siguiente de generada la solicitud, expidiendo la esquela de liquidación o la esquela de denegatoria, según corresponda</w:t>
      </w:r>
    </w:p>
    <w:p w:rsidR="005F744A" w:rsidRPr="005F744A" w:rsidRDefault="005F744A" w:rsidP="005F744A">
      <w:pPr>
        <w:ind w:left="426"/>
        <w:jc w:val="both"/>
        <w:rPr>
          <w:rFonts w:ascii="Arial" w:hAnsi="Arial" w:cs="Arial"/>
          <w:color w:val="000000" w:themeColor="text1"/>
          <w:sz w:val="24"/>
          <w:szCs w:val="24"/>
        </w:rPr>
      </w:pPr>
    </w:p>
    <w:p w:rsidR="005F744A" w:rsidRPr="005F744A" w:rsidRDefault="005F744A" w:rsidP="005F744A">
      <w:pPr>
        <w:ind w:left="426"/>
        <w:jc w:val="both"/>
        <w:rPr>
          <w:rFonts w:ascii="Arial" w:hAnsi="Arial" w:cs="Arial"/>
          <w:color w:val="000000" w:themeColor="text1"/>
          <w:sz w:val="24"/>
          <w:szCs w:val="24"/>
        </w:rPr>
      </w:pPr>
      <w:r w:rsidRPr="005F744A">
        <w:rPr>
          <w:rFonts w:ascii="Arial" w:hAnsi="Arial" w:cs="Arial"/>
          <w:color w:val="000000" w:themeColor="text1"/>
          <w:sz w:val="24"/>
          <w:szCs w:val="24"/>
        </w:rPr>
        <w:lastRenderedPageBreak/>
        <w:t>Una vez generada la esquela de liquidación, el servicio solicitado se encuentra disponible para ser descargado por el solicitante, previo pago de la tasa registral correspondiente.</w:t>
      </w:r>
    </w:p>
    <w:p w:rsidR="005F744A" w:rsidRPr="005F744A" w:rsidRDefault="005F744A" w:rsidP="005F744A">
      <w:pPr>
        <w:ind w:left="851"/>
        <w:jc w:val="both"/>
        <w:rPr>
          <w:rFonts w:ascii="Arial" w:hAnsi="Arial" w:cs="Arial"/>
          <w:color w:val="000000" w:themeColor="text1"/>
          <w:sz w:val="24"/>
          <w:szCs w:val="24"/>
        </w:rPr>
      </w:pPr>
    </w:p>
    <w:p w:rsidR="005F744A" w:rsidRPr="005F744A" w:rsidRDefault="005F744A" w:rsidP="005F744A">
      <w:pPr>
        <w:pStyle w:val="Texto"/>
        <w:widowControl w:val="0"/>
        <w:numPr>
          <w:ilvl w:val="1"/>
          <w:numId w:val="1"/>
        </w:numPr>
        <w:tabs>
          <w:tab w:val="clear" w:pos="1004"/>
        </w:tabs>
        <w:ind w:left="426" w:hanging="426"/>
        <w:jc w:val="both"/>
        <w:outlineLvl w:val="0"/>
        <w:rPr>
          <w:rFonts w:ascii="Arial" w:hAnsi="Arial" w:cs="Arial"/>
          <w:b/>
          <w:color w:val="000000" w:themeColor="text1"/>
        </w:rPr>
      </w:pPr>
      <w:r w:rsidRPr="005F744A">
        <w:rPr>
          <w:rFonts w:ascii="Arial" w:hAnsi="Arial" w:cs="Arial"/>
          <w:b/>
          <w:color w:val="000000" w:themeColor="text1"/>
        </w:rPr>
        <w:t>Alcance del Servicio.</w:t>
      </w:r>
    </w:p>
    <w:p w:rsidR="005F744A" w:rsidRPr="005F744A" w:rsidRDefault="005F744A" w:rsidP="005F744A">
      <w:pPr>
        <w:pStyle w:val="Texto"/>
        <w:widowControl w:val="0"/>
        <w:ind w:left="851"/>
        <w:jc w:val="both"/>
        <w:outlineLvl w:val="0"/>
        <w:rPr>
          <w:rFonts w:ascii="Arial" w:hAnsi="Arial" w:cs="Arial"/>
          <w:b/>
          <w:color w:val="000000" w:themeColor="text1"/>
        </w:rPr>
      </w:pPr>
    </w:p>
    <w:p w:rsidR="005F744A" w:rsidRPr="005F744A" w:rsidRDefault="005F744A" w:rsidP="005F744A">
      <w:pPr>
        <w:pStyle w:val="Texto"/>
        <w:widowControl w:val="0"/>
        <w:ind w:left="426"/>
        <w:jc w:val="both"/>
        <w:outlineLvl w:val="0"/>
        <w:rPr>
          <w:rFonts w:ascii="Arial" w:hAnsi="Arial" w:cs="Arial"/>
          <w:b/>
          <w:color w:val="000000" w:themeColor="text1"/>
        </w:rPr>
      </w:pPr>
      <w:r w:rsidRPr="005F744A">
        <w:rPr>
          <w:rFonts w:ascii="Arial" w:hAnsi="Arial" w:cs="Arial"/>
          <w:color w:val="000000" w:themeColor="text1"/>
          <w:shd w:val="clear" w:color="auto" w:fill="FEFEFE"/>
        </w:rPr>
        <w:t xml:space="preserve">El servicio de Base Gráfica Registral en archivo digital es de carácter informativo, por lo que no requiere de visto o firma por parte de un servidor de la </w:t>
      </w:r>
      <w:proofErr w:type="spellStart"/>
      <w:r w:rsidRPr="005F744A">
        <w:rPr>
          <w:rFonts w:ascii="Arial" w:hAnsi="Arial" w:cs="Arial"/>
          <w:color w:val="000000" w:themeColor="text1"/>
          <w:shd w:val="clear" w:color="auto" w:fill="FEFEFE"/>
        </w:rPr>
        <w:t>Sunarp</w:t>
      </w:r>
      <w:proofErr w:type="spellEnd"/>
      <w:r w:rsidRPr="005F744A">
        <w:rPr>
          <w:rFonts w:ascii="Arial" w:hAnsi="Arial" w:cs="Arial"/>
          <w:color w:val="000000" w:themeColor="text1"/>
          <w:shd w:val="clear" w:color="auto" w:fill="FEFEFE"/>
        </w:rPr>
        <w:t>. La información otorgada es la que consta en la Base Gráfica Registral a la fecha en la que es extraída la información, es decir, en la fecha que se expide la liquidación, sin perjuicio que la descarga de la información por parte del solicitante, o la entrega del CD/DVD, se efectúe en días posteriores.</w:t>
      </w:r>
    </w:p>
    <w:p w:rsidR="005F744A" w:rsidRPr="005F744A" w:rsidRDefault="005F744A" w:rsidP="005F744A">
      <w:pPr>
        <w:pStyle w:val="Texto"/>
        <w:widowControl w:val="0"/>
        <w:jc w:val="both"/>
        <w:outlineLvl w:val="0"/>
        <w:rPr>
          <w:rFonts w:ascii="Arial" w:hAnsi="Arial" w:cs="Arial"/>
          <w:b/>
          <w:color w:val="000000" w:themeColor="text1"/>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color w:val="000000" w:themeColor="text1"/>
        </w:rPr>
      </w:pPr>
      <w:r w:rsidRPr="005F744A">
        <w:rPr>
          <w:rFonts w:ascii="Arial" w:hAnsi="Arial" w:cs="Arial"/>
          <w:b/>
          <w:color w:val="000000" w:themeColor="text1"/>
        </w:rPr>
        <w:t>DISPOSICIONES COMPLEMENTARIAS</w:t>
      </w:r>
    </w:p>
    <w:p w:rsidR="005F744A" w:rsidRPr="005F744A" w:rsidRDefault="005F744A" w:rsidP="005F744A">
      <w:pPr>
        <w:pStyle w:val="Texto"/>
        <w:widowControl w:val="0"/>
        <w:jc w:val="both"/>
        <w:outlineLvl w:val="0"/>
        <w:rPr>
          <w:rFonts w:ascii="Arial" w:hAnsi="Arial" w:cs="Arial"/>
          <w:color w:val="000000" w:themeColor="text1"/>
        </w:rPr>
      </w:pPr>
    </w:p>
    <w:p w:rsidR="005F744A" w:rsidRPr="005F744A" w:rsidRDefault="005F744A" w:rsidP="005F744A">
      <w:pPr>
        <w:pStyle w:val="Texto"/>
        <w:widowControl w:val="0"/>
        <w:numPr>
          <w:ilvl w:val="1"/>
          <w:numId w:val="1"/>
        </w:numPr>
        <w:tabs>
          <w:tab w:val="clear" w:pos="1004"/>
          <w:tab w:val="num" w:pos="426"/>
        </w:tabs>
        <w:ind w:left="426" w:hanging="426"/>
        <w:jc w:val="both"/>
        <w:outlineLvl w:val="0"/>
        <w:rPr>
          <w:rFonts w:ascii="Arial" w:hAnsi="Arial" w:cs="Arial"/>
          <w:color w:val="000000" w:themeColor="text1"/>
        </w:rPr>
      </w:pPr>
      <w:r w:rsidRPr="005F744A">
        <w:rPr>
          <w:rFonts w:ascii="Arial" w:hAnsi="Arial" w:cs="Arial"/>
          <w:color w:val="000000" w:themeColor="text1"/>
        </w:rPr>
        <w:t xml:space="preserve">La información entregada es estrictamente respecto del polígono al que corresponde la partida o al asiento conforme lo previsto en el numeral 7.2.2., no incluye la precisión de otros polígonos o partidas. </w:t>
      </w:r>
    </w:p>
    <w:p w:rsidR="005F744A" w:rsidRPr="005F744A" w:rsidRDefault="005F744A" w:rsidP="005F744A">
      <w:pPr>
        <w:pStyle w:val="Texto"/>
        <w:widowControl w:val="0"/>
        <w:ind w:left="426"/>
        <w:jc w:val="both"/>
        <w:outlineLvl w:val="0"/>
        <w:rPr>
          <w:rFonts w:ascii="Arial" w:hAnsi="Arial" w:cs="Arial"/>
          <w:color w:val="000000" w:themeColor="text1"/>
        </w:rPr>
      </w:pPr>
    </w:p>
    <w:p w:rsidR="005F744A" w:rsidRPr="005F744A" w:rsidRDefault="005F744A" w:rsidP="005F744A">
      <w:pPr>
        <w:pStyle w:val="Texto"/>
        <w:widowControl w:val="0"/>
        <w:numPr>
          <w:ilvl w:val="1"/>
          <w:numId w:val="1"/>
        </w:numPr>
        <w:tabs>
          <w:tab w:val="clear" w:pos="1004"/>
          <w:tab w:val="num" w:pos="426"/>
        </w:tabs>
        <w:ind w:left="426" w:hanging="426"/>
        <w:jc w:val="both"/>
        <w:outlineLvl w:val="0"/>
        <w:rPr>
          <w:rFonts w:ascii="Arial" w:hAnsi="Arial" w:cs="Arial"/>
          <w:color w:val="000000" w:themeColor="text1"/>
        </w:rPr>
      </w:pPr>
      <w:r w:rsidRPr="005F744A">
        <w:rPr>
          <w:rFonts w:ascii="Arial" w:hAnsi="Arial" w:cs="Arial"/>
          <w:color w:val="000000" w:themeColor="text1"/>
        </w:rPr>
        <w:t>La descarga del archivo desde el Portal Web Institucional podrá efectuarse dentro de los noventa (90) días calendario contados desde la fecha de la esquela de liquidación, siempre que se haya cumplido con el pago de la tasa registral dentro del plazo establecido en el numeral 7.3.5.</w:t>
      </w:r>
    </w:p>
    <w:p w:rsidR="005F744A" w:rsidRPr="005F744A" w:rsidRDefault="005F744A" w:rsidP="005F744A">
      <w:pPr>
        <w:pStyle w:val="Texto"/>
        <w:widowControl w:val="0"/>
        <w:jc w:val="both"/>
        <w:outlineLvl w:val="0"/>
        <w:rPr>
          <w:rFonts w:ascii="Arial" w:hAnsi="Arial" w:cs="Arial"/>
          <w:color w:val="000000" w:themeColor="text1"/>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color w:val="000000" w:themeColor="text1"/>
        </w:rPr>
      </w:pPr>
      <w:r w:rsidRPr="005F744A">
        <w:rPr>
          <w:rFonts w:ascii="Arial" w:hAnsi="Arial" w:cs="Arial"/>
          <w:b/>
          <w:color w:val="000000" w:themeColor="text1"/>
        </w:rPr>
        <w:t>DISPOSICIONES TRANSITORIAS</w:t>
      </w:r>
    </w:p>
    <w:p w:rsidR="005F744A" w:rsidRPr="005F744A" w:rsidRDefault="005F744A" w:rsidP="005F744A">
      <w:pPr>
        <w:pStyle w:val="Texto"/>
        <w:widowControl w:val="0"/>
        <w:jc w:val="both"/>
        <w:outlineLvl w:val="0"/>
        <w:rPr>
          <w:rFonts w:ascii="Arial" w:hAnsi="Arial" w:cs="Arial"/>
          <w:color w:val="000000" w:themeColor="text1"/>
        </w:rPr>
      </w:pPr>
    </w:p>
    <w:p w:rsidR="005F744A" w:rsidRPr="005F744A" w:rsidRDefault="005F744A" w:rsidP="005F744A">
      <w:pPr>
        <w:pStyle w:val="Texto"/>
        <w:widowControl w:val="0"/>
        <w:tabs>
          <w:tab w:val="num" w:pos="1004"/>
        </w:tabs>
        <w:jc w:val="both"/>
        <w:outlineLvl w:val="0"/>
        <w:rPr>
          <w:rFonts w:ascii="Arial" w:hAnsi="Arial" w:cs="Arial"/>
          <w:color w:val="000000" w:themeColor="text1"/>
          <w:shd w:val="clear" w:color="auto" w:fill="FEFEFE"/>
        </w:rPr>
      </w:pPr>
      <w:r w:rsidRPr="005F744A">
        <w:rPr>
          <w:rFonts w:ascii="Arial" w:hAnsi="Arial" w:cs="Arial"/>
          <w:color w:val="000000" w:themeColor="text1"/>
          <w:shd w:val="clear" w:color="auto" w:fill="FEFEFE"/>
        </w:rPr>
        <w:t>La Oficina General de Tecnologías de la Información se encarga de implementar los mecanismos informáticos que permitan y faciliten el cumplimiento de la presente Directiva.</w:t>
      </w:r>
    </w:p>
    <w:p w:rsidR="005F744A" w:rsidRPr="005F744A" w:rsidRDefault="005F744A" w:rsidP="005F744A">
      <w:pPr>
        <w:pStyle w:val="Texto"/>
        <w:widowControl w:val="0"/>
        <w:jc w:val="both"/>
        <w:outlineLvl w:val="0"/>
        <w:rPr>
          <w:rFonts w:ascii="Arial" w:hAnsi="Arial" w:cs="Arial"/>
          <w:color w:val="000000" w:themeColor="text1"/>
        </w:rPr>
      </w:pPr>
    </w:p>
    <w:p w:rsidR="005F744A" w:rsidRPr="005F744A" w:rsidRDefault="005F744A" w:rsidP="005F744A">
      <w:pPr>
        <w:pStyle w:val="Texto"/>
        <w:widowControl w:val="0"/>
        <w:numPr>
          <w:ilvl w:val="0"/>
          <w:numId w:val="1"/>
        </w:numPr>
        <w:pBdr>
          <w:top w:val="single" w:sz="4" w:space="1" w:color="auto"/>
          <w:left w:val="single" w:sz="4" w:space="4" w:color="auto"/>
          <w:bottom w:val="single" w:sz="4" w:space="1" w:color="auto"/>
          <w:right w:val="single" w:sz="4" w:space="4" w:color="auto"/>
        </w:pBdr>
        <w:shd w:val="clear" w:color="auto" w:fill="BFBFBF"/>
        <w:tabs>
          <w:tab w:val="clear" w:pos="720"/>
          <w:tab w:val="num" w:pos="-5245"/>
        </w:tabs>
        <w:ind w:left="284" w:hanging="284"/>
        <w:jc w:val="both"/>
        <w:outlineLvl w:val="0"/>
        <w:rPr>
          <w:rFonts w:ascii="Arial" w:hAnsi="Arial" w:cs="Arial"/>
          <w:b/>
          <w:color w:val="000000" w:themeColor="text1"/>
        </w:rPr>
      </w:pPr>
      <w:r w:rsidRPr="005F744A">
        <w:rPr>
          <w:rFonts w:ascii="Arial" w:hAnsi="Arial" w:cs="Arial"/>
          <w:b/>
          <w:color w:val="000000" w:themeColor="text1"/>
        </w:rPr>
        <w:t>RESPONSABILIDAD</w:t>
      </w:r>
    </w:p>
    <w:p w:rsidR="005F744A" w:rsidRPr="005F744A" w:rsidRDefault="005F744A" w:rsidP="005F744A">
      <w:pPr>
        <w:pStyle w:val="Texto"/>
        <w:widowControl w:val="0"/>
        <w:ind w:left="1288"/>
        <w:jc w:val="both"/>
        <w:outlineLvl w:val="0"/>
        <w:rPr>
          <w:rFonts w:ascii="Arial" w:hAnsi="Arial" w:cs="Arial"/>
          <w:color w:val="000000" w:themeColor="text1"/>
        </w:rPr>
      </w:pPr>
    </w:p>
    <w:p w:rsidR="005F744A" w:rsidRPr="005F744A" w:rsidRDefault="005F744A" w:rsidP="005F744A">
      <w:pPr>
        <w:pStyle w:val="Texto"/>
        <w:widowControl w:val="0"/>
        <w:jc w:val="both"/>
        <w:outlineLvl w:val="0"/>
        <w:rPr>
          <w:rFonts w:ascii="Arial" w:hAnsi="Arial" w:cs="Arial"/>
          <w:color w:val="000000" w:themeColor="text1"/>
        </w:rPr>
      </w:pPr>
      <w:r w:rsidRPr="005F744A">
        <w:rPr>
          <w:rFonts w:ascii="Arial" w:hAnsi="Arial" w:cs="Arial"/>
          <w:color w:val="000000" w:themeColor="text1"/>
        </w:rPr>
        <w:t>Son responsables del cumplimiento de la presente directiva los Jefes de las zonas registrales, los jefes de Unidad Registral, los jefes de las Unidades de Tecnologías de la Información, la Oficina General de Tecnologías de la Información, el personal del área de catastro y demás servidores intervinientes según sea el caso y de acuerdo a sus funciones específicas.</w:t>
      </w:r>
    </w:p>
    <w:p w:rsidR="00061ECA" w:rsidRPr="005F744A" w:rsidRDefault="00061ECA" w:rsidP="005F744A">
      <w:pPr>
        <w:jc w:val="center"/>
        <w:rPr>
          <w:rFonts w:ascii="Arial" w:hAnsi="Arial" w:cs="Arial"/>
          <w:sz w:val="24"/>
          <w:szCs w:val="24"/>
          <w:lang w:val="es-PE"/>
        </w:rPr>
      </w:pPr>
    </w:p>
    <w:sectPr w:rsidR="00061ECA" w:rsidRPr="005F74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20"/>
    <w:multiLevelType w:val="hybridMultilevel"/>
    <w:tmpl w:val="97E248CC"/>
    <w:lvl w:ilvl="0" w:tplc="189A4466">
      <w:start w:val="1"/>
      <w:numFmt w:val="lowerLetter"/>
      <w:lvlText w:val="%1)"/>
      <w:lvlJc w:val="left"/>
      <w:pPr>
        <w:ind w:left="2487" w:hanging="360"/>
      </w:pPr>
      <w:rPr>
        <w:rFonts w:hint="default"/>
        <w:b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 w15:restartNumberingAfterBreak="0">
    <w:nsid w:val="08A84FDB"/>
    <w:multiLevelType w:val="hybridMultilevel"/>
    <w:tmpl w:val="63ECDDDE"/>
    <w:lvl w:ilvl="0" w:tplc="7B5AB4F4">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 w15:restartNumberingAfterBreak="0">
    <w:nsid w:val="163528AF"/>
    <w:multiLevelType w:val="multilevel"/>
    <w:tmpl w:val="780E51A4"/>
    <w:lvl w:ilvl="0">
      <w:start w:val="6"/>
      <w:numFmt w:val="decimal"/>
      <w:lvlText w:val="%1."/>
      <w:lvlJc w:val="left"/>
      <w:pPr>
        <w:ind w:left="360" w:hanging="360"/>
      </w:pPr>
      <w:rPr>
        <w:rFonts w:hint="default"/>
        <w:b/>
      </w:rPr>
    </w:lvl>
    <w:lvl w:ilvl="1">
      <w:start w:val="1"/>
      <w:numFmt w:val="decimal"/>
      <w:lvlText w:val="%1.%2."/>
      <w:lvlJc w:val="left"/>
      <w:pPr>
        <w:ind w:left="716" w:hanging="432"/>
      </w:pPr>
      <w:rPr>
        <w:rFonts w:hint="default"/>
        <w:b/>
        <w:strike w:val="0"/>
        <w:color w:val="000000" w:themeColor="text1"/>
      </w:rPr>
    </w:lvl>
    <w:lvl w:ilvl="2">
      <w:start w:val="1"/>
      <w:numFmt w:val="decimal"/>
      <w:lvlText w:val="%1.2"/>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4"/>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222E05A0"/>
    <w:multiLevelType w:val="hybridMultilevel"/>
    <w:tmpl w:val="E180AC8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19F64A9"/>
    <w:multiLevelType w:val="hybridMultilevel"/>
    <w:tmpl w:val="D90073A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547251F"/>
    <w:multiLevelType w:val="hybridMultilevel"/>
    <w:tmpl w:val="8650385E"/>
    <w:lvl w:ilvl="0" w:tplc="0C0A0017">
      <w:start w:val="1"/>
      <w:numFmt w:val="lowerLetter"/>
      <w:lvlText w:val="%1)"/>
      <w:lvlJc w:val="left"/>
      <w:pPr>
        <w:ind w:left="3697" w:hanging="360"/>
      </w:pPr>
    </w:lvl>
    <w:lvl w:ilvl="1" w:tplc="0C0A0019" w:tentative="1">
      <w:start w:val="1"/>
      <w:numFmt w:val="lowerLetter"/>
      <w:lvlText w:val="%2."/>
      <w:lvlJc w:val="left"/>
      <w:pPr>
        <w:ind w:left="4417" w:hanging="360"/>
      </w:pPr>
    </w:lvl>
    <w:lvl w:ilvl="2" w:tplc="0C0A001B" w:tentative="1">
      <w:start w:val="1"/>
      <w:numFmt w:val="lowerRoman"/>
      <w:lvlText w:val="%3."/>
      <w:lvlJc w:val="right"/>
      <w:pPr>
        <w:ind w:left="5137" w:hanging="180"/>
      </w:pPr>
    </w:lvl>
    <w:lvl w:ilvl="3" w:tplc="0C0A000F" w:tentative="1">
      <w:start w:val="1"/>
      <w:numFmt w:val="decimal"/>
      <w:lvlText w:val="%4."/>
      <w:lvlJc w:val="left"/>
      <w:pPr>
        <w:ind w:left="5857" w:hanging="360"/>
      </w:pPr>
    </w:lvl>
    <w:lvl w:ilvl="4" w:tplc="0C0A0019" w:tentative="1">
      <w:start w:val="1"/>
      <w:numFmt w:val="lowerLetter"/>
      <w:lvlText w:val="%5."/>
      <w:lvlJc w:val="left"/>
      <w:pPr>
        <w:ind w:left="6577" w:hanging="360"/>
      </w:pPr>
    </w:lvl>
    <w:lvl w:ilvl="5" w:tplc="0C0A001B" w:tentative="1">
      <w:start w:val="1"/>
      <w:numFmt w:val="lowerRoman"/>
      <w:lvlText w:val="%6."/>
      <w:lvlJc w:val="right"/>
      <w:pPr>
        <w:ind w:left="7297" w:hanging="180"/>
      </w:pPr>
    </w:lvl>
    <w:lvl w:ilvl="6" w:tplc="0C0A000F" w:tentative="1">
      <w:start w:val="1"/>
      <w:numFmt w:val="decimal"/>
      <w:lvlText w:val="%7."/>
      <w:lvlJc w:val="left"/>
      <w:pPr>
        <w:ind w:left="8017" w:hanging="360"/>
      </w:pPr>
    </w:lvl>
    <w:lvl w:ilvl="7" w:tplc="0C0A0019" w:tentative="1">
      <w:start w:val="1"/>
      <w:numFmt w:val="lowerLetter"/>
      <w:lvlText w:val="%8."/>
      <w:lvlJc w:val="left"/>
      <w:pPr>
        <w:ind w:left="8737" w:hanging="360"/>
      </w:pPr>
    </w:lvl>
    <w:lvl w:ilvl="8" w:tplc="0C0A001B" w:tentative="1">
      <w:start w:val="1"/>
      <w:numFmt w:val="lowerRoman"/>
      <w:lvlText w:val="%9."/>
      <w:lvlJc w:val="right"/>
      <w:pPr>
        <w:ind w:left="9457" w:hanging="180"/>
      </w:pPr>
    </w:lvl>
  </w:abstractNum>
  <w:abstractNum w:abstractNumId="6" w15:restartNumberingAfterBreak="0">
    <w:nsid w:val="53CC72BD"/>
    <w:multiLevelType w:val="hybridMultilevel"/>
    <w:tmpl w:val="58808E2A"/>
    <w:lvl w:ilvl="0" w:tplc="8000196A">
      <w:start w:val="1"/>
      <w:numFmt w:val="lowerLetter"/>
      <w:lvlText w:val="%1)"/>
      <w:lvlJc w:val="left"/>
      <w:pPr>
        <w:ind w:left="2289" w:hanging="360"/>
      </w:pPr>
      <w:rPr>
        <w:rFonts w:hint="default"/>
        <w:b w:val="0"/>
        <w:color w:val="000000" w:themeColor="text1"/>
      </w:rPr>
    </w:lvl>
    <w:lvl w:ilvl="1" w:tplc="0C0A0019" w:tentative="1">
      <w:start w:val="1"/>
      <w:numFmt w:val="lowerLetter"/>
      <w:lvlText w:val="%2."/>
      <w:lvlJc w:val="left"/>
      <w:pPr>
        <w:ind w:left="3009" w:hanging="360"/>
      </w:pPr>
    </w:lvl>
    <w:lvl w:ilvl="2" w:tplc="0C0A001B" w:tentative="1">
      <w:start w:val="1"/>
      <w:numFmt w:val="lowerRoman"/>
      <w:lvlText w:val="%3."/>
      <w:lvlJc w:val="right"/>
      <w:pPr>
        <w:ind w:left="3729" w:hanging="180"/>
      </w:pPr>
    </w:lvl>
    <w:lvl w:ilvl="3" w:tplc="0C0A000F" w:tentative="1">
      <w:start w:val="1"/>
      <w:numFmt w:val="decimal"/>
      <w:lvlText w:val="%4."/>
      <w:lvlJc w:val="left"/>
      <w:pPr>
        <w:ind w:left="4449" w:hanging="360"/>
      </w:pPr>
    </w:lvl>
    <w:lvl w:ilvl="4" w:tplc="0C0A0019" w:tentative="1">
      <w:start w:val="1"/>
      <w:numFmt w:val="lowerLetter"/>
      <w:lvlText w:val="%5."/>
      <w:lvlJc w:val="left"/>
      <w:pPr>
        <w:ind w:left="5169" w:hanging="360"/>
      </w:pPr>
    </w:lvl>
    <w:lvl w:ilvl="5" w:tplc="0C0A001B" w:tentative="1">
      <w:start w:val="1"/>
      <w:numFmt w:val="lowerRoman"/>
      <w:lvlText w:val="%6."/>
      <w:lvlJc w:val="right"/>
      <w:pPr>
        <w:ind w:left="5889" w:hanging="180"/>
      </w:pPr>
    </w:lvl>
    <w:lvl w:ilvl="6" w:tplc="0C0A000F" w:tentative="1">
      <w:start w:val="1"/>
      <w:numFmt w:val="decimal"/>
      <w:lvlText w:val="%7."/>
      <w:lvlJc w:val="left"/>
      <w:pPr>
        <w:ind w:left="6609" w:hanging="360"/>
      </w:pPr>
    </w:lvl>
    <w:lvl w:ilvl="7" w:tplc="0C0A0019" w:tentative="1">
      <w:start w:val="1"/>
      <w:numFmt w:val="lowerLetter"/>
      <w:lvlText w:val="%8."/>
      <w:lvlJc w:val="left"/>
      <w:pPr>
        <w:ind w:left="7329" w:hanging="360"/>
      </w:pPr>
    </w:lvl>
    <w:lvl w:ilvl="8" w:tplc="0C0A001B" w:tentative="1">
      <w:start w:val="1"/>
      <w:numFmt w:val="lowerRoman"/>
      <w:lvlText w:val="%9."/>
      <w:lvlJc w:val="right"/>
      <w:pPr>
        <w:ind w:left="8049" w:hanging="180"/>
      </w:pPr>
    </w:lvl>
  </w:abstractNum>
  <w:abstractNum w:abstractNumId="7" w15:restartNumberingAfterBreak="0">
    <w:nsid w:val="55C81A72"/>
    <w:multiLevelType w:val="multilevel"/>
    <w:tmpl w:val="E1C4D0FC"/>
    <w:lvl w:ilvl="0">
      <w:start w:val="1"/>
      <w:numFmt w:val="upperRoman"/>
      <w:lvlText w:val="%1."/>
      <w:lvlJc w:val="left"/>
      <w:pPr>
        <w:tabs>
          <w:tab w:val="num" w:pos="720"/>
        </w:tabs>
        <w:ind w:left="720" w:hanging="720"/>
      </w:pPr>
      <w:rPr>
        <w:rFonts w:hint="default"/>
        <w:b/>
      </w:rPr>
    </w:lvl>
    <w:lvl w:ilvl="1">
      <w:start w:val="1"/>
      <w:numFmt w:val="decimal"/>
      <w:isLgl/>
      <w:lvlText w:val="%1.%2."/>
      <w:lvlJc w:val="left"/>
      <w:pPr>
        <w:tabs>
          <w:tab w:val="num" w:pos="1004"/>
        </w:tabs>
        <w:ind w:left="1004" w:hanging="720"/>
      </w:pPr>
      <w:rPr>
        <w:rFonts w:ascii="Arial" w:hAnsi="Arial" w:cs="Arial" w:hint="default"/>
        <w:b/>
        <w:strike w:val="0"/>
        <w:sz w:val="24"/>
        <w:szCs w:val="24"/>
      </w:rPr>
    </w:lvl>
    <w:lvl w:ilvl="2">
      <w:start w:val="1"/>
      <w:numFmt w:val="decimal"/>
      <w:isLgl/>
      <w:lvlText w:val="%1.%2.%3."/>
      <w:lvlJc w:val="left"/>
      <w:pPr>
        <w:tabs>
          <w:tab w:val="num" w:pos="1571"/>
        </w:tabs>
        <w:ind w:left="1571" w:hanging="720"/>
      </w:pPr>
      <w:rPr>
        <w:rFonts w:hint="default"/>
        <w:b/>
        <w:strike w:val="0"/>
        <w:color w:val="000000" w:themeColor="text1"/>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8" w15:restartNumberingAfterBreak="0">
    <w:nsid w:val="68112FFE"/>
    <w:multiLevelType w:val="hybridMultilevel"/>
    <w:tmpl w:val="64768BEA"/>
    <w:lvl w:ilvl="0" w:tplc="22EAD1A8">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6A0640A8"/>
    <w:multiLevelType w:val="hybridMultilevel"/>
    <w:tmpl w:val="76E6B986"/>
    <w:lvl w:ilvl="0" w:tplc="07025348">
      <w:start w:val="1"/>
      <w:numFmt w:val="lowerLetter"/>
      <w:lvlText w:val="%1)"/>
      <w:lvlJc w:val="left"/>
      <w:pPr>
        <w:ind w:left="2487" w:hanging="360"/>
      </w:pPr>
      <w:rPr>
        <w:rFonts w:hint="default"/>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6B915C9E"/>
    <w:multiLevelType w:val="hybridMultilevel"/>
    <w:tmpl w:val="FAE017D4"/>
    <w:lvl w:ilvl="0" w:tplc="01AA4BCA">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1" w15:restartNumberingAfterBreak="0">
    <w:nsid w:val="6F624672"/>
    <w:multiLevelType w:val="hybridMultilevel"/>
    <w:tmpl w:val="EEEA38DA"/>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D3703F"/>
    <w:multiLevelType w:val="hybridMultilevel"/>
    <w:tmpl w:val="07EE952E"/>
    <w:lvl w:ilvl="0" w:tplc="B22A90E2">
      <w:start w:val="1"/>
      <w:numFmt w:val="lowerRoman"/>
      <w:lvlText w:val="%1."/>
      <w:lvlJc w:val="right"/>
      <w:pPr>
        <w:ind w:left="2847" w:hanging="360"/>
      </w:pPr>
      <w:rPr>
        <w:rFonts w:hint="default"/>
        <w:b w:val="0"/>
        <w:lang w:val="es-PE"/>
      </w:r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num w:numId="1">
    <w:abstractNumId w:val="7"/>
  </w:num>
  <w:num w:numId="2">
    <w:abstractNumId w:val="8"/>
  </w:num>
  <w:num w:numId="3">
    <w:abstractNumId w:val="9"/>
  </w:num>
  <w:num w:numId="4">
    <w:abstractNumId w:val="10"/>
  </w:num>
  <w:num w:numId="5">
    <w:abstractNumId w:val="2"/>
  </w:num>
  <w:num w:numId="6">
    <w:abstractNumId w:val="0"/>
  </w:num>
  <w:num w:numId="7">
    <w:abstractNumId w:val="5"/>
  </w:num>
  <w:num w:numId="8">
    <w:abstractNumId w:val="12"/>
  </w:num>
  <w:num w:numId="9">
    <w:abstractNumId w:val="11"/>
  </w:num>
  <w:num w:numId="10">
    <w:abstractNumId w:val="6"/>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8F"/>
    <w:rsid w:val="00061ECA"/>
    <w:rsid w:val="0057338F"/>
    <w:rsid w:val="005F744A"/>
    <w:rsid w:val="00C24C83"/>
    <w:rsid w:val="00D9372B"/>
    <w:rsid w:val="00F941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5B58"/>
  <w15:chartTrackingRefBased/>
  <w15:docId w15:val="{4E490807-BC91-4599-A291-6D82CE6D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38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predeterminado"/>
    <w:basedOn w:val="Normal"/>
    <w:rsid w:val="0057338F"/>
    <w:pPr>
      <w:autoSpaceDE w:val="0"/>
      <w:autoSpaceDN w:val="0"/>
    </w:pPr>
    <w:rPr>
      <w:rFonts w:eastAsia="Calibri"/>
      <w:sz w:val="24"/>
      <w:szCs w:val="24"/>
      <w:lang w:val="es-PE"/>
    </w:rPr>
  </w:style>
  <w:style w:type="paragraph" w:styleId="Prrafodelista">
    <w:name w:val="List Paragraph"/>
    <w:basedOn w:val="Normal"/>
    <w:uiPriority w:val="34"/>
    <w:qFormat/>
    <w:rsid w:val="0057338F"/>
    <w:pPr>
      <w:ind w:left="720"/>
      <w:contextualSpacing/>
    </w:pPr>
  </w:style>
  <w:style w:type="paragraph" w:styleId="Textonotapie">
    <w:name w:val="footnote text"/>
    <w:basedOn w:val="Normal"/>
    <w:link w:val="TextonotapieCar"/>
    <w:uiPriority w:val="99"/>
    <w:unhideWhenUsed/>
    <w:rsid w:val="0057338F"/>
  </w:style>
  <w:style w:type="character" w:customStyle="1" w:styleId="TextonotapieCar">
    <w:name w:val="Texto nota pie Car"/>
    <w:basedOn w:val="Fuentedeprrafopredeter"/>
    <w:link w:val="Textonotapie"/>
    <w:uiPriority w:val="99"/>
    <w:rsid w:val="0057338F"/>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57338F"/>
    <w:rPr>
      <w:sz w:val="16"/>
      <w:szCs w:val="16"/>
    </w:rPr>
  </w:style>
  <w:style w:type="paragraph" w:styleId="Textocomentario">
    <w:name w:val="annotation text"/>
    <w:basedOn w:val="Normal"/>
    <w:link w:val="TextocomentarioCar"/>
    <w:uiPriority w:val="99"/>
    <w:semiHidden/>
    <w:unhideWhenUsed/>
    <w:rsid w:val="0057338F"/>
  </w:style>
  <w:style w:type="character" w:customStyle="1" w:styleId="TextocomentarioCar">
    <w:name w:val="Texto comentario Car"/>
    <w:basedOn w:val="Fuentedeprrafopredeter"/>
    <w:link w:val="Textocomentario"/>
    <w:uiPriority w:val="99"/>
    <w:semiHidden/>
    <w:rsid w:val="0057338F"/>
    <w:rPr>
      <w:rFonts w:ascii="Times New Roman" w:eastAsia="Times New Roman" w:hAnsi="Times New Roman" w:cs="Times New Roman"/>
      <w:sz w:val="20"/>
      <w:szCs w:val="20"/>
      <w:lang w:val="es-ES" w:eastAsia="es-ES"/>
    </w:rPr>
  </w:style>
  <w:style w:type="paragraph" w:customStyle="1" w:styleId="Normal1">
    <w:name w:val="Normal1"/>
    <w:basedOn w:val="Normal"/>
    <w:rsid w:val="0057338F"/>
    <w:pPr>
      <w:spacing w:before="100" w:beforeAutospacing="1" w:after="100" w:afterAutospacing="1"/>
    </w:pPr>
    <w:rPr>
      <w:sz w:val="24"/>
      <w:szCs w:val="24"/>
      <w:lang w:val="es-PE" w:eastAsia="es-PE"/>
    </w:rPr>
  </w:style>
  <w:style w:type="character" w:customStyle="1" w:styleId="no-style-override-5">
    <w:name w:val="no-style-override-5"/>
    <w:basedOn w:val="Fuentedeprrafopredeter"/>
    <w:rsid w:val="0057338F"/>
  </w:style>
  <w:style w:type="paragraph" w:styleId="Textodeglobo">
    <w:name w:val="Balloon Text"/>
    <w:basedOn w:val="Normal"/>
    <w:link w:val="TextodegloboCar"/>
    <w:uiPriority w:val="99"/>
    <w:semiHidden/>
    <w:unhideWhenUsed/>
    <w:rsid w:val="005733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38F"/>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57338F"/>
    <w:rPr>
      <w:b/>
      <w:bCs/>
    </w:rPr>
  </w:style>
  <w:style w:type="character" w:customStyle="1" w:styleId="AsuntodelcomentarioCar">
    <w:name w:val="Asunto del comentario Car"/>
    <w:basedOn w:val="TextocomentarioCar"/>
    <w:link w:val="Asuntodelcomentario"/>
    <w:uiPriority w:val="99"/>
    <w:semiHidden/>
    <w:rsid w:val="0057338F"/>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57338F"/>
    <w:pPr>
      <w:spacing w:before="100" w:beforeAutospacing="1" w:after="100" w:afterAutospacing="1"/>
    </w:pPr>
    <w:rPr>
      <w:sz w:val="24"/>
      <w:szCs w:val="24"/>
      <w:lang w:val="es-PE" w:eastAsia="es-PE"/>
    </w:rPr>
  </w:style>
  <w:style w:type="paragraph" w:customStyle="1" w:styleId="qowt-stl-ttulo1">
    <w:name w:val="qowt-stl-ttulo1"/>
    <w:basedOn w:val="Normal"/>
    <w:uiPriority w:val="99"/>
    <w:semiHidden/>
    <w:rsid w:val="0057338F"/>
    <w:pPr>
      <w:spacing w:before="100" w:beforeAutospacing="1" w:after="100" w:afterAutospacing="1"/>
    </w:pPr>
    <w:rPr>
      <w:sz w:val="24"/>
      <w:szCs w:val="24"/>
      <w:lang w:val="es-PE" w:eastAsia="es-PE"/>
    </w:rPr>
  </w:style>
  <w:style w:type="paragraph" w:customStyle="1" w:styleId="qowt-stl-textoindependiente">
    <w:name w:val="qowt-stl-textoindependiente"/>
    <w:basedOn w:val="Normal"/>
    <w:uiPriority w:val="99"/>
    <w:semiHidden/>
    <w:rsid w:val="0057338F"/>
    <w:pPr>
      <w:spacing w:before="100" w:beforeAutospacing="1" w:after="100" w:afterAutospacing="1"/>
    </w:pPr>
    <w:rPr>
      <w:sz w:val="24"/>
      <w:szCs w:val="24"/>
      <w:lang w:val="es-PE" w:eastAsia="es-PE"/>
    </w:rPr>
  </w:style>
  <w:style w:type="paragraph" w:customStyle="1" w:styleId="qowt-stl-ttulo2">
    <w:name w:val="qowt-stl-ttulo2"/>
    <w:basedOn w:val="Normal"/>
    <w:uiPriority w:val="99"/>
    <w:semiHidden/>
    <w:rsid w:val="0057338F"/>
    <w:pPr>
      <w:spacing w:before="100" w:beforeAutospacing="1" w:after="100" w:afterAutospacing="1"/>
    </w:pPr>
    <w:rPr>
      <w:sz w:val="24"/>
      <w:szCs w:val="24"/>
      <w:lang w:val="es-PE" w:eastAsia="es-PE"/>
    </w:rPr>
  </w:style>
  <w:style w:type="character" w:customStyle="1" w:styleId="qowt-font3-calibri">
    <w:name w:val="qowt-font3-calibri"/>
    <w:basedOn w:val="Fuentedeprrafopredeter"/>
    <w:rsid w:val="0057338F"/>
  </w:style>
  <w:style w:type="character" w:styleId="Hipervnculo">
    <w:name w:val="Hyperlink"/>
    <w:uiPriority w:val="99"/>
    <w:semiHidden/>
    <w:unhideWhenUsed/>
    <w:rsid w:val="00F94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ikipedia.org/wiki/Sistema_de_coordenad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1725</Words>
  <Characters>9837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Gianfranco Habich Scarsi</dc:creator>
  <cp:keywords/>
  <dc:description/>
  <cp:lastModifiedBy>Augusto Gianfranco Habich Scarsi</cp:lastModifiedBy>
  <cp:revision>4</cp:revision>
  <dcterms:created xsi:type="dcterms:W3CDTF">2018-06-11T20:29:00Z</dcterms:created>
  <dcterms:modified xsi:type="dcterms:W3CDTF">2018-06-14T14:16:00Z</dcterms:modified>
</cp:coreProperties>
</file>